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598" w:rsidRPr="006F6B75" w:rsidRDefault="00296598" w:rsidP="00296598">
      <w:pPr>
        <w:spacing w:after="0" w:line="240" w:lineRule="auto"/>
        <w:jc w:val="center"/>
        <w:rPr>
          <w:rFonts w:ascii="Times New Roman" w:eastAsia="Times New Roman" w:hAnsi="Times New Roman" w:cs="Times New Roman"/>
          <w:b/>
          <w:bCs/>
          <w:sz w:val="24"/>
          <w:szCs w:val="24"/>
          <w:lang w:eastAsia="es-CO"/>
        </w:rPr>
      </w:pP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LEY Nº 1943</w:t>
      </w:r>
    </w:p>
    <w:p w:rsidR="00C52239" w:rsidRPr="006F6B75" w:rsidRDefault="00C52239" w:rsidP="00296598">
      <w:pPr>
        <w:spacing w:after="0" w:line="240" w:lineRule="auto"/>
        <w:jc w:val="center"/>
        <w:rPr>
          <w:rFonts w:ascii="Times New Roman" w:eastAsia="Times New Roman" w:hAnsi="Times New Roman" w:cs="Times New Roman"/>
          <w:b/>
          <w:bCs/>
          <w:sz w:val="24"/>
          <w:szCs w:val="24"/>
          <w:lang w:eastAsia="es-CO"/>
        </w:rPr>
      </w:pP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28-12-2018</w:t>
      </w:r>
    </w:p>
    <w:p w:rsidR="00C52239" w:rsidRPr="006F6B75" w:rsidRDefault="00C52239" w:rsidP="00296598">
      <w:pPr>
        <w:spacing w:after="0" w:line="240" w:lineRule="auto"/>
        <w:jc w:val="center"/>
        <w:rPr>
          <w:rFonts w:ascii="Times New Roman" w:eastAsia="Times New Roman" w:hAnsi="Times New Roman" w:cs="Times New Roman"/>
          <w:b/>
          <w:bCs/>
          <w:sz w:val="24"/>
          <w:szCs w:val="24"/>
          <w:lang w:eastAsia="es-CO"/>
        </w:rPr>
      </w:pP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PODER PÚBLICO – RAMA LEGISLATIVA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por la cual se expiden normas de financiamiento para el restablecimiento del equilibrio del presupuesto general y se dictan otras disposiciones.</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El Congreso de Colombia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DECRETA: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TÍTULO 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MECANISMOS DE FINANCIAMIENTO EN IMPUESTO A LAS VENTAS E IMPUESTO AL CONSUMO</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Impuesto sobre las Ventas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w:t>
      </w:r>
      <w:r w:rsidRPr="006F6B75">
        <w:rPr>
          <w:rFonts w:ascii="Times New Roman" w:eastAsia="Times New Roman" w:hAnsi="Times New Roman" w:cs="Times New Roman"/>
          <w:sz w:val="24"/>
          <w:szCs w:val="24"/>
          <w:lang w:eastAsia="es-CO"/>
        </w:rPr>
        <w:t> Modifíquense los numerales 12 y 13 del </w:t>
      </w:r>
      <w:hyperlink r:id="rId8" w:tooltip="Estatuto Tributario CETA" w:history="1">
        <w:r w:rsidRPr="006F6B75">
          <w:rPr>
            <w:rFonts w:ascii="Times New Roman" w:eastAsia="Times New Roman" w:hAnsi="Times New Roman" w:cs="Times New Roman"/>
            <w:sz w:val="24"/>
            <w:szCs w:val="24"/>
            <w:lang w:eastAsia="es-CO"/>
          </w:rPr>
          <w:t>artículo 424</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12. La venta de bienes inmuebles.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13. Los alimentos de consumo humano y animal, vestuario, elementos de aseo y medicamentos para uso humano o veterinario, materiales de construcción; bicicletas y sus partes; motocicletas y sus partes; y motocarros y sus partes que se introduzcan y comercialicen a los departamentos de Amazonas, Guainía, Guaviare, Vaupés </w:t>
      </w:r>
      <w:r w:rsidRPr="006F6B75">
        <w:rPr>
          <w:rFonts w:ascii="Times New Roman" w:eastAsia="Times New Roman" w:hAnsi="Times New Roman" w:cs="Times New Roman"/>
          <w:b/>
          <w:sz w:val="24"/>
          <w:szCs w:val="24"/>
          <w:lang w:eastAsia="es-CO"/>
        </w:rPr>
        <w:t>y Vichada</w:t>
      </w:r>
      <w:r w:rsidRPr="006F6B75">
        <w:rPr>
          <w:rFonts w:ascii="Times New Roman" w:eastAsia="Times New Roman" w:hAnsi="Times New Roman" w:cs="Times New Roman"/>
          <w:sz w:val="24"/>
          <w:szCs w:val="24"/>
          <w:lang w:eastAsia="es-CO"/>
        </w:rPr>
        <w:t>, siempre y cuando se destinen exclusivamente al consumo dentro del mismo departamento y las motocicletas y motocarros sean registrados en el departamento. El Gobierno Nacional reglamentará la materia para garantizar que la exclusión del IVA se aplique en las ventas al consumidor final.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w:t>
      </w:r>
      <w:r w:rsidRPr="006F6B75">
        <w:rPr>
          <w:rFonts w:ascii="Times New Roman" w:eastAsia="Times New Roman" w:hAnsi="Times New Roman" w:cs="Times New Roman"/>
          <w:sz w:val="24"/>
          <w:szCs w:val="24"/>
          <w:lang w:eastAsia="es-CO"/>
        </w:rPr>
        <w:t> Modifíquese el </w:t>
      </w:r>
      <w:hyperlink r:id="rId9" w:tooltip="Estatuto Tributario CETA" w:history="1">
        <w:r w:rsidRPr="006F6B75">
          <w:rPr>
            <w:rFonts w:ascii="Times New Roman" w:eastAsia="Times New Roman" w:hAnsi="Times New Roman" w:cs="Times New Roman"/>
            <w:sz w:val="24"/>
            <w:szCs w:val="24"/>
            <w:lang w:eastAsia="es-CO"/>
          </w:rPr>
          <w:t>artículo 426</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0" w:tooltip="Estatuto Tributario CETA" w:history="1">
        <w:r w:rsidR="00296598" w:rsidRPr="006F6B75">
          <w:rPr>
            <w:rFonts w:ascii="Times New Roman" w:eastAsia="Times New Roman" w:hAnsi="Times New Roman" w:cs="Times New Roman"/>
            <w:b/>
            <w:bCs/>
            <w:sz w:val="24"/>
            <w:szCs w:val="24"/>
            <w:lang w:eastAsia="es-CO"/>
          </w:rPr>
          <w:t>Artículo 426</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Servicios excluidos. </w:t>
      </w:r>
      <w:r w:rsidR="00296598" w:rsidRPr="006F6B75">
        <w:rPr>
          <w:rFonts w:ascii="Times New Roman" w:eastAsia="Times New Roman" w:hAnsi="Times New Roman" w:cs="Times New Roman"/>
          <w:sz w:val="24"/>
          <w:szCs w:val="24"/>
          <w:lang w:eastAsia="es-CO"/>
        </w:rPr>
        <w:t>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incluyendo el servicio de catering, y el expendio de comidas y bebidas alcohólicas para consumo dentro bares, tabernas y discotecas, se entenderá que la venta se hace como servicio excluido del Impuesto sobre las Ventas (IVA) y está sujeta al impuesto nacional al consumo al que hace referencia el </w:t>
      </w:r>
      <w:hyperlink r:id="rId11" w:tooltip="Estatuto Tributario CETA" w:history="1">
        <w:r w:rsidR="00296598" w:rsidRPr="006F6B75">
          <w:rPr>
            <w:rFonts w:ascii="Times New Roman" w:eastAsia="Times New Roman" w:hAnsi="Times New Roman" w:cs="Times New Roman"/>
            <w:sz w:val="24"/>
            <w:szCs w:val="24"/>
            <w:lang w:eastAsia="es-CO"/>
          </w:rPr>
          <w:t>artículo 512-1</w:t>
        </w:r>
      </w:hyperlink>
      <w:r w:rsidR="00296598"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Parágrafo.</w:t>
      </w:r>
      <w:r w:rsidRPr="006F6B75">
        <w:rPr>
          <w:rFonts w:ascii="Times New Roman" w:eastAsia="Times New Roman" w:hAnsi="Times New Roman" w:cs="Times New Roman"/>
          <w:sz w:val="24"/>
          <w:szCs w:val="24"/>
          <w:lang w:eastAsia="es-CO"/>
        </w:rPr>
        <w:t> El presente artículo no aplica para los contribuyentes que desarrollen contratos de franquicia, los cuales se encuentran sometidos al Impuesto sobre las Ventas (IVA).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w:t>
      </w:r>
      <w:r w:rsidRPr="006F6B75">
        <w:rPr>
          <w:rFonts w:ascii="Times New Roman" w:eastAsia="Times New Roman" w:hAnsi="Times New Roman" w:cs="Times New Roman"/>
          <w:sz w:val="24"/>
          <w:szCs w:val="24"/>
          <w:lang w:eastAsia="es-CO"/>
        </w:rPr>
        <w:t> Los contribuyentes responsables del impuesto al consumo que a la entrada en vigencia de la presente ley desarrollen actividades de comidas y bebidas bajo franquicias, podrán optar hasta el 30 de junio de 2019 por inscribirse como responsables del Impuesto sobre las Ventas (IVA).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w:t>
      </w:r>
      <w:r w:rsidRPr="006F6B75">
        <w:rPr>
          <w:rFonts w:ascii="Times New Roman" w:eastAsia="Times New Roman" w:hAnsi="Times New Roman" w:cs="Times New Roman"/>
          <w:sz w:val="24"/>
          <w:szCs w:val="24"/>
          <w:lang w:eastAsia="es-CO"/>
        </w:rPr>
        <w:t> Modifíquese el literal j) del </w:t>
      </w:r>
      <w:hyperlink r:id="rId12" w:tooltip="Estatuto Tributario CETA" w:history="1">
        <w:r w:rsidRPr="006F6B75">
          <w:rPr>
            <w:rFonts w:ascii="Times New Roman" w:eastAsia="Times New Roman" w:hAnsi="Times New Roman" w:cs="Times New Roman"/>
            <w:sz w:val="24"/>
            <w:szCs w:val="24"/>
            <w:lang w:eastAsia="es-CO"/>
          </w:rPr>
          <w:t>artículo 428</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j) La importación de bienes objeto de tráfico postal, envíos urgentes o envíos de entrega rápida, procedente del resto del mundo y cuyo valor no exceda de doscientos dólares USD$200. A este literal no le será aplicable lo previsto en el parágrafo 3° de este artículo.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w:t>
      </w:r>
      <w:r w:rsidRPr="006F6B75">
        <w:rPr>
          <w:rFonts w:ascii="Times New Roman" w:eastAsia="Times New Roman" w:hAnsi="Times New Roman" w:cs="Times New Roman"/>
          <w:sz w:val="24"/>
          <w:szCs w:val="24"/>
          <w:lang w:eastAsia="es-CO"/>
        </w:rPr>
        <w:t> Adiciónese el inciso 3° al parágrafo 2° y adiciónese el parágrafo 3° al </w:t>
      </w:r>
      <w:hyperlink r:id="rId13" w:tooltip="Estatuto Tributario CETA" w:history="1">
        <w:r w:rsidRPr="006F6B75">
          <w:rPr>
            <w:rFonts w:ascii="Times New Roman" w:eastAsia="Times New Roman" w:hAnsi="Times New Roman" w:cs="Times New Roman"/>
            <w:sz w:val="24"/>
            <w:szCs w:val="24"/>
            <w:lang w:eastAsia="es-CO"/>
          </w:rPr>
          <w:t>artículo 437</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Que en el año anterior o en el año en curso hubieren obtenido ingresos brutos totales provenientes de la actividad, inferiores a 3.500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Que no tengan más de un establecimiento de comercio, oficina, sede, local o negocio donde ejerzan su actividad.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Que en el establecimiento de comercio, oficina, sede, local o negocio no se desarrollen actividades bajo franquicia, concesión, regalía, autorización o cualquier otro sistema que implique la explotación de intangibles.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Que no sean usuarios aduaneros.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 Que no hayan celebrado en el año inmediatamente anterior ni en el año en curso contratos de venta de bienes y/o prestación de servicios gravados por valor individual, igual o superior a 3.500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6. Que el monto de sus consignaciones bancarias, depósitos o inversiones financieras durante el año anterior o durante el respectivo año no supere la suma de 3.500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 Que no esté registrado como contribuyente del impuesto unificado bajo el Régimen Simple de Tributación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responsables del impuesto solo podrán solicitar su retiro del régimen cuando demuestren que en el año fiscal anterior se cumplieron, las condiciones establecidas en la presente disposición.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Autorícese a la Dirección de Impuestos y Aduanas Nacionales (DIAN) para adoptar medidas tendientes al control de la evasión, para lo cual podrá imponer obligaciones formales a los sujetos no responsables a que alude la presente disposición. De conformidad con el </w:t>
      </w:r>
      <w:hyperlink r:id="rId14" w:tooltip="Estatuto Tributario CETA" w:history="1">
        <w:r w:rsidRPr="006F6B75">
          <w:rPr>
            <w:rFonts w:ascii="Times New Roman" w:eastAsia="Times New Roman" w:hAnsi="Times New Roman" w:cs="Times New Roman"/>
            <w:sz w:val="24"/>
            <w:szCs w:val="24"/>
            <w:lang w:eastAsia="es-CO"/>
          </w:rPr>
          <w:t>artículo 869</w:t>
        </w:r>
      </w:hyperlink>
      <w:r w:rsidRPr="006F6B75">
        <w:rPr>
          <w:rFonts w:ascii="Times New Roman" w:eastAsia="Times New Roman" w:hAnsi="Times New Roman" w:cs="Times New Roman"/>
          <w:sz w:val="24"/>
          <w:szCs w:val="24"/>
          <w:lang w:eastAsia="es-CO"/>
        </w:rPr>
        <w:t>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(ii) el fraccionamiento de la actividad empresarial en varios miembros de una familia para evitar la inscripción del prestador de los bienes y servicios gravados en el régimen de responsabilidad del Impuesto sobre las Ventas (IVA).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w:t>
      </w:r>
      <w:r w:rsidRPr="006F6B75">
        <w:rPr>
          <w:rFonts w:ascii="Times New Roman" w:eastAsia="Times New Roman" w:hAnsi="Times New Roman" w:cs="Times New Roman"/>
          <w:sz w:val="24"/>
          <w:szCs w:val="24"/>
          <w:lang w:eastAsia="es-CO"/>
        </w:rPr>
        <w:t> Modifíquense el inciso segundo y el parágrafo 1 del </w:t>
      </w:r>
      <w:hyperlink r:id="rId15" w:tooltip="Estatuto Tributario CETA" w:history="1">
        <w:r w:rsidRPr="006F6B75">
          <w:rPr>
            <w:rFonts w:ascii="Times New Roman" w:eastAsia="Times New Roman" w:hAnsi="Times New Roman" w:cs="Times New Roman"/>
            <w:sz w:val="24"/>
            <w:szCs w:val="24"/>
            <w:lang w:eastAsia="es-CO"/>
          </w:rPr>
          <w:t>artículo 437-1</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b/>
          <w:sz w:val="24"/>
          <w:szCs w:val="24"/>
          <w:lang w:eastAsia="es-CO"/>
        </w:rPr>
      </w:pPr>
      <w:r w:rsidRPr="006F6B75">
        <w:rPr>
          <w:rFonts w:ascii="Times New Roman" w:eastAsia="Times New Roman" w:hAnsi="Times New Roman" w:cs="Times New Roman"/>
          <w:sz w:val="24"/>
          <w:szCs w:val="24"/>
          <w:lang w:eastAsia="es-CO"/>
        </w:rPr>
        <w:t xml:space="preserve">La retención podrá ser hasta del cincuenta por ciento (50%) del valor del impuesto, de acuerdo con lo que determine el Gobierno Nacional. </w:t>
      </w:r>
      <w:r w:rsidRPr="006F6B75">
        <w:rPr>
          <w:rFonts w:ascii="Times New Roman" w:eastAsia="Times New Roman" w:hAnsi="Times New Roman" w:cs="Times New Roman"/>
          <w:b/>
          <w:sz w:val="24"/>
          <w:szCs w:val="24"/>
          <w:lang w:eastAsia="es-CO"/>
        </w:rPr>
        <w:t>En aquellos pagos en los que no exista una retención en la fuente especial establecida mediante decreto reglamentario, será aplicable la tarifa del quince por ciento (15%).</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Parágrafo 1°.</w:t>
      </w:r>
      <w:r w:rsidRPr="006F6B75">
        <w:rPr>
          <w:rFonts w:ascii="Times New Roman" w:eastAsia="Times New Roman" w:hAnsi="Times New Roman" w:cs="Times New Roman"/>
          <w:sz w:val="24"/>
          <w:szCs w:val="24"/>
          <w:lang w:eastAsia="es-CO"/>
        </w:rPr>
        <w:t> En el caso de las prestaciones de servicios gravados a que se refieren los numerales 3 y 8 del </w:t>
      </w:r>
      <w:hyperlink r:id="rId16" w:tooltip="Estatuto Tributario CETA" w:history="1">
        <w:r w:rsidRPr="006F6B75">
          <w:rPr>
            <w:rFonts w:ascii="Times New Roman" w:eastAsia="Times New Roman" w:hAnsi="Times New Roman" w:cs="Times New Roman"/>
            <w:sz w:val="24"/>
            <w:szCs w:val="24"/>
            <w:lang w:eastAsia="es-CO"/>
          </w:rPr>
          <w:t>artículo 437-2</w:t>
        </w:r>
      </w:hyperlink>
      <w:r w:rsidRPr="006F6B75">
        <w:rPr>
          <w:rFonts w:ascii="Times New Roman" w:eastAsia="Times New Roman" w:hAnsi="Times New Roman" w:cs="Times New Roman"/>
          <w:sz w:val="24"/>
          <w:szCs w:val="24"/>
          <w:lang w:eastAsia="es-CO"/>
        </w:rPr>
        <w:t> de este Estatuto, la retención será equivalente al ciento por ciento (100%) del valor del impuesto.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w:t>
      </w:r>
      <w:r w:rsidRPr="006F6B75">
        <w:rPr>
          <w:rFonts w:ascii="Times New Roman" w:eastAsia="Times New Roman" w:hAnsi="Times New Roman" w:cs="Times New Roman"/>
          <w:sz w:val="24"/>
          <w:szCs w:val="24"/>
          <w:lang w:eastAsia="es-CO"/>
        </w:rPr>
        <w:t> Adiciónense el numeral 9 y el parágrafo 3°, y modifíquese el numeral 8 del </w:t>
      </w:r>
      <w:hyperlink r:id="rId17" w:tooltip="Estatuto Tributario CETA" w:history="1">
        <w:r w:rsidRPr="006F6B75">
          <w:rPr>
            <w:rFonts w:ascii="Times New Roman" w:eastAsia="Times New Roman" w:hAnsi="Times New Roman" w:cs="Times New Roman"/>
            <w:sz w:val="24"/>
            <w:szCs w:val="24"/>
            <w:lang w:eastAsia="es-CO"/>
          </w:rPr>
          <w:t>artículo 437-2</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Suministro de servicios audiovisuales (entre otros, de música, videos, películas y juegos de cualquier tipo, así como la radiodifusión de cualquier tipo de evento).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Servicios prestados a través de plataformas digitales.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Suministro de servicios de publicidad online.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Suministro de enseñanza o entrenamiento a distancia.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Suministro de derechos de uso o explotación de intangibles.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Otros servicios electrónicos o digitales con destino a usuarios ubicados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 Los responsables del Impuesto sobre las Ventas (IVA) cuando adquieran bienes corporales muebles o servicios gravados, de personas que se encuentren registradas como contribuyentes del impuesto unificado bajo el Régimen Simple de Tributación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 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solo será aplicable a los prestadores de servicios electrónicos o digitales que: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Realicen de forma exclusiva una o varias actividades de las enunciadas en el numeral 8 de este artículo y las mismas se presten a usuarios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No se hayan acogido al sistema de declaración bimestral del Impuesto sobre las Ventas (IVA) y se acojan voluntariamente a este sistema alternativo de pago del impuesto; y</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El valor facturado, cobrado y/o exigido a los usuarios ubicados en Colombia corresponda a la base gravable del Impuesto sobre las Ventas (IVA) por lo servicios electrónicos o digitales.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 </w:t>
      </w:r>
      <w:r w:rsidRPr="006F6B75">
        <w:rPr>
          <w:rFonts w:ascii="Times New Roman" w:eastAsia="Times New Roman" w:hAnsi="Times New Roman" w:cs="Times New Roman"/>
          <w:sz w:val="24"/>
          <w:szCs w:val="24"/>
          <w:lang w:eastAsia="es-CO"/>
        </w:rPr>
        <w:t>Modifíquese el </w:t>
      </w:r>
      <w:hyperlink r:id="rId18" w:tooltip="Estatuto Tributario CETA" w:history="1">
        <w:r w:rsidRPr="006F6B75">
          <w:rPr>
            <w:rFonts w:ascii="Times New Roman" w:eastAsia="Times New Roman" w:hAnsi="Times New Roman" w:cs="Times New Roman"/>
            <w:sz w:val="24"/>
            <w:szCs w:val="24"/>
            <w:lang w:eastAsia="es-CO"/>
          </w:rPr>
          <w:t>artículo 458</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9" w:tooltip="Estatuto Tributario CETA" w:history="1">
        <w:r w:rsidR="00296598" w:rsidRPr="006F6B75">
          <w:rPr>
            <w:rFonts w:ascii="Times New Roman" w:eastAsia="Times New Roman" w:hAnsi="Times New Roman" w:cs="Times New Roman"/>
            <w:b/>
            <w:bCs/>
            <w:sz w:val="24"/>
            <w:szCs w:val="24"/>
            <w:lang w:eastAsia="es-CO"/>
          </w:rPr>
          <w:t>Artículo 458</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Base gravable en los retiros de bienes. </w:t>
      </w:r>
      <w:r w:rsidR="00296598" w:rsidRPr="006F6B75">
        <w:rPr>
          <w:rFonts w:ascii="Times New Roman" w:eastAsia="Times New Roman" w:hAnsi="Times New Roman" w:cs="Times New Roman"/>
          <w:sz w:val="24"/>
          <w:szCs w:val="24"/>
          <w:lang w:eastAsia="es-CO"/>
        </w:rPr>
        <w:t>En los retiros a que se refiere el literal b) del </w:t>
      </w:r>
      <w:hyperlink r:id="rId20" w:tooltip="Estatuto Tributario CETA" w:history="1">
        <w:r w:rsidR="00296598" w:rsidRPr="006F6B75">
          <w:rPr>
            <w:rFonts w:ascii="Times New Roman" w:eastAsia="Times New Roman" w:hAnsi="Times New Roman" w:cs="Times New Roman"/>
            <w:sz w:val="24"/>
            <w:szCs w:val="24"/>
            <w:lang w:eastAsia="es-CO"/>
          </w:rPr>
          <w:t>artículo 421</w:t>
        </w:r>
      </w:hyperlink>
      <w:r w:rsidR="00296598" w:rsidRPr="006F6B75">
        <w:rPr>
          <w:rFonts w:ascii="Times New Roman" w:eastAsia="Times New Roman" w:hAnsi="Times New Roman" w:cs="Times New Roman"/>
          <w:sz w:val="24"/>
          <w:szCs w:val="24"/>
          <w:lang w:eastAsia="es-CO"/>
        </w:rPr>
        <w:t> del Estatuto Tributario, la base gravable será el valor comercial de los bienes.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w:t>
      </w:r>
      <w:r w:rsidRPr="006F6B75">
        <w:rPr>
          <w:rFonts w:ascii="Times New Roman" w:eastAsia="Times New Roman" w:hAnsi="Times New Roman" w:cs="Times New Roman"/>
          <w:sz w:val="24"/>
          <w:szCs w:val="24"/>
          <w:lang w:eastAsia="es-CO"/>
        </w:rPr>
        <w:t> Modifíquese el parágrafo del </w:t>
      </w:r>
      <w:hyperlink r:id="rId21" w:tooltip="Estatuto Tributario CETA" w:history="1">
        <w:r w:rsidRPr="006F6B75">
          <w:rPr>
            <w:rFonts w:ascii="Times New Roman" w:eastAsia="Times New Roman" w:hAnsi="Times New Roman" w:cs="Times New Roman"/>
            <w:sz w:val="24"/>
            <w:szCs w:val="24"/>
            <w:lang w:eastAsia="es-CO"/>
          </w:rPr>
          <w:t>artículo 459</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base gravable sobre la cual se liquida el Impuesto sobre las Ventas (IVA) en la importación de productos terminados producidos en el exterior o en zona franca con componentes nacionales exportados, será la establecida en el inciso primero de este artículo adicionado el valor de los costos de producción y sin descontar el valor del componente nacional exportado.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w:t>
      </w:r>
      <w:r w:rsidRPr="006F6B75">
        <w:rPr>
          <w:rFonts w:ascii="Times New Roman" w:eastAsia="Times New Roman" w:hAnsi="Times New Roman" w:cs="Times New Roman"/>
          <w:sz w:val="24"/>
          <w:szCs w:val="24"/>
          <w:lang w:eastAsia="es-CO"/>
        </w:rPr>
        <w:t> Modifíquese el </w:t>
      </w:r>
      <w:hyperlink r:id="rId22" w:tooltip="Estatuto Tributario CETA" w:history="1">
        <w:r w:rsidRPr="006F6B75">
          <w:rPr>
            <w:rFonts w:ascii="Times New Roman" w:eastAsia="Times New Roman" w:hAnsi="Times New Roman" w:cs="Times New Roman"/>
            <w:sz w:val="24"/>
            <w:szCs w:val="24"/>
            <w:lang w:eastAsia="es-CO"/>
          </w:rPr>
          <w:t>artículo 475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3" w:tooltip="Estatuto Tributario CETA" w:history="1">
        <w:r w:rsidR="00296598" w:rsidRPr="006F6B75">
          <w:rPr>
            <w:rFonts w:ascii="Times New Roman" w:eastAsia="Times New Roman" w:hAnsi="Times New Roman" w:cs="Times New Roman"/>
            <w:b/>
            <w:bCs/>
            <w:sz w:val="24"/>
            <w:szCs w:val="24"/>
            <w:lang w:eastAsia="es-CO"/>
          </w:rPr>
          <w:t>Artículo 475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Base gravable para las cervezas de producción nacional e importadas. </w:t>
      </w:r>
      <w:r w:rsidR="00296598" w:rsidRPr="006F6B75">
        <w:rPr>
          <w:rFonts w:ascii="Times New Roman" w:eastAsia="Times New Roman" w:hAnsi="Times New Roman" w:cs="Times New Roman"/>
          <w:sz w:val="24"/>
          <w:szCs w:val="24"/>
          <w:lang w:eastAsia="es-CO"/>
        </w:rPr>
        <w:t>En todos los casos, la base gravable del Impuesto sobre las Ventas (IVA) está constituida por el precio de venta menos el impuesto al consumo de cervezas, sifones y refajos de que trata el artículo 185 y siguientes de la Ley 223 de 1995 o las leyes que lo modifiquen o sustituyan.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b/>
          <w:sz w:val="24"/>
          <w:szCs w:val="24"/>
          <w:lang w:eastAsia="es-CO"/>
        </w:rPr>
        <w:t>Establézcase un plazo de dos meses contados a partir de la entrada en vigencia de la presente ley, para dar aplicación a las modificaciones contenidas en el presente artículo</w:t>
      </w:r>
      <w:r w:rsidRPr="006F6B75">
        <w:rPr>
          <w:rFonts w:ascii="Times New Roman" w:eastAsia="Times New Roman" w:hAnsi="Times New Roman" w:cs="Times New Roman"/>
          <w:sz w:val="24"/>
          <w:szCs w:val="24"/>
          <w:lang w:eastAsia="es-CO"/>
        </w:rPr>
        <w:t xml:space="preserve">. Lo anterior, para que los productores, importadores y comercializadores adecúen sus sistemas de información contable y fiscal y facturen sus productos en debida forma. Así mismo, para evitar traumatismos para los establecimientos de comercio con venta directa al público de mercancías </w:t>
      </w:r>
      <w:proofErr w:type="spellStart"/>
      <w:r w:rsidRPr="006F6B75">
        <w:rPr>
          <w:rFonts w:ascii="Times New Roman" w:eastAsia="Times New Roman" w:hAnsi="Times New Roman" w:cs="Times New Roman"/>
          <w:sz w:val="24"/>
          <w:szCs w:val="24"/>
          <w:lang w:eastAsia="es-CO"/>
        </w:rPr>
        <w:t>premarcadas</w:t>
      </w:r>
      <w:proofErr w:type="spellEnd"/>
      <w:r w:rsidRPr="006F6B75">
        <w:rPr>
          <w:rFonts w:ascii="Times New Roman" w:eastAsia="Times New Roman" w:hAnsi="Times New Roman" w:cs="Times New Roman"/>
          <w:sz w:val="24"/>
          <w:szCs w:val="24"/>
          <w:lang w:eastAsia="es-CO"/>
        </w:rPr>
        <w:t xml:space="preserve"> directamente o en góndola o existentes en mostradores.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b/>
          <w:sz w:val="24"/>
          <w:szCs w:val="24"/>
          <w:lang w:eastAsia="es-CO"/>
        </w:rPr>
      </w:pPr>
      <w:r w:rsidRPr="006F6B75">
        <w:rPr>
          <w:rFonts w:ascii="Times New Roman" w:eastAsia="Times New Roman" w:hAnsi="Times New Roman" w:cs="Times New Roman"/>
          <w:b/>
          <w:sz w:val="24"/>
          <w:szCs w:val="24"/>
          <w:lang w:eastAsia="es-CO"/>
        </w:rPr>
        <w:t>A partir del primero (1°) de marzo de 2019 se aplicarán y entrarán en vigencia las modificaciones y disposiciones establecidas en el presente artículo.</w:t>
      </w:r>
    </w:p>
    <w:p w:rsidR="00296598" w:rsidRPr="006F6B75" w:rsidRDefault="00296598" w:rsidP="00296598">
      <w:pPr>
        <w:spacing w:after="0" w:line="240" w:lineRule="auto"/>
        <w:jc w:val="both"/>
        <w:rPr>
          <w:rFonts w:ascii="Times New Roman" w:eastAsia="Times New Roman" w:hAnsi="Times New Roman" w:cs="Times New Roman"/>
          <w:b/>
          <w:sz w:val="24"/>
          <w:szCs w:val="24"/>
          <w:lang w:eastAsia="es-CO"/>
        </w:rPr>
      </w:pPr>
      <w:r w:rsidRPr="006F6B75">
        <w:rPr>
          <w:rFonts w:ascii="Times New Roman" w:eastAsia="Times New Roman" w:hAnsi="Times New Roman" w:cs="Times New Roman"/>
          <w:b/>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w:t>
      </w:r>
      <w:r w:rsidRPr="006F6B75">
        <w:rPr>
          <w:rFonts w:ascii="Times New Roman" w:eastAsia="Times New Roman" w:hAnsi="Times New Roman" w:cs="Times New Roman"/>
          <w:sz w:val="24"/>
          <w:szCs w:val="24"/>
          <w:lang w:eastAsia="es-CO"/>
        </w:rPr>
        <w:t> Modifíquese el </w:t>
      </w:r>
      <w:hyperlink r:id="rId24" w:tooltip="Estatuto Tributario CETA" w:history="1">
        <w:r w:rsidRPr="006F6B75">
          <w:rPr>
            <w:rFonts w:ascii="Times New Roman" w:eastAsia="Times New Roman" w:hAnsi="Times New Roman" w:cs="Times New Roman"/>
            <w:sz w:val="24"/>
            <w:szCs w:val="24"/>
            <w:lang w:eastAsia="es-CO"/>
          </w:rPr>
          <w:t>artículo 476</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5" w:tooltip="Estatuto Tributario CETA" w:history="1">
        <w:r w:rsidR="00296598" w:rsidRPr="006F6B75">
          <w:rPr>
            <w:rFonts w:ascii="Times New Roman" w:eastAsia="Times New Roman" w:hAnsi="Times New Roman" w:cs="Times New Roman"/>
            <w:b/>
            <w:bCs/>
            <w:sz w:val="24"/>
            <w:szCs w:val="24"/>
            <w:lang w:eastAsia="es-CO"/>
          </w:rPr>
          <w:t>Artículo 476</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Servicios excluidos del Impuesto a las Ventas (IVA). </w:t>
      </w:r>
      <w:r w:rsidR="00296598" w:rsidRPr="006F6B75">
        <w:rPr>
          <w:rFonts w:ascii="Times New Roman" w:eastAsia="Times New Roman" w:hAnsi="Times New Roman" w:cs="Times New Roman"/>
          <w:sz w:val="24"/>
          <w:szCs w:val="24"/>
          <w:lang w:eastAsia="es-CO"/>
        </w:rPr>
        <w:t>Se exceptúan del impuesto los siguientes servicios y bienes relacionados: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b/>
          <w:sz w:val="24"/>
          <w:szCs w:val="24"/>
          <w:lang w:eastAsia="es-CO"/>
        </w:rPr>
      </w:pPr>
      <w:r w:rsidRPr="006F6B75">
        <w:rPr>
          <w:rFonts w:ascii="Times New Roman" w:eastAsia="Times New Roman" w:hAnsi="Times New Roman" w:cs="Times New Roman"/>
          <w:b/>
          <w:sz w:val="24"/>
          <w:szCs w:val="24"/>
          <w:lang w:eastAsia="es-CO"/>
        </w:rPr>
        <w:t>1</w:t>
      </w:r>
      <w:r w:rsidRPr="006F6B75">
        <w:rPr>
          <w:rFonts w:ascii="Times New Roman" w:eastAsia="Times New Roman" w:hAnsi="Times New Roman" w:cs="Times New Roman"/>
          <w:sz w:val="24"/>
          <w:szCs w:val="24"/>
          <w:lang w:eastAsia="es-CO"/>
        </w:rPr>
        <w:t xml:space="preserve">. Los servicios médicos, odontológicos, hospitalarios, clínicos y de laboratorio, para la salud humana. </w:t>
      </w:r>
      <w:r w:rsidRPr="006F6B75">
        <w:rPr>
          <w:rFonts w:ascii="Times New Roman" w:eastAsia="Times New Roman" w:hAnsi="Times New Roman" w:cs="Times New Roman"/>
          <w:b/>
          <w:sz w:val="24"/>
          <w:szCs w:val="24"/>
          <w:lang w:eastAsia="es-CO"/>
        </w:rPr>
        <w:t>Se exceptúan de esta exclusión:</w:t>
      </w:r>
    </w:p>
    <w:p w:rsidR="00296598" w:rsidRPr="006F6B75" w:rsidRDefault="00296598" w:rsidP="00296598">
      <w:pPr>
        <w:spacing w:after="0" w:line="240" w:lineRule="auto"/>
        <w:ind w:left="180"/>
        <w:jc w:val="both"/>
        <w:rPr>
          <w:rFonts w:ascii="Times New Roman" w:eastAsia="Times New Roman" w:hAnsi="Times New Roman" w:cs="Times New Roman"/>
          <w:b/>
          <w:sz w:val="24"/>
          <w:szCs w:val="24"/>
          <w:lang w:eastAsia="es-CO"/>
        </w:rPr>
      </w:pPr>
      <w:r w:rsidRPr="006F6B75">
        <w:rPr>
          <w:rFonts w:ascii="Times New Roman" w:eastAsia="Times New Roman" w:hAnsi="Times New Roman" w:cs="Times New Roman"/>
          <w:b/>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Los tratamientos de belleza.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Las cirugías estéticas diferentes de aquéllas cirugías plásticas reparadoras o funcionales, de conformidad con las definiciones adoptadas por el Ministerio de Salud y Protección Social.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w:t>
      </w:r>
      <w:r w:rsidRPr="006F6B75">
        <w:rPr>
          <w:rFonts w:ascii="Times New Roman" w:eastAsia="Times New Roman" w:hAnsi="Times New Roman" w:cs="Times New Roman"/>
          <w:sz w:val="24"/>
          <w:szCs w:val="24"/>
          <w:lang w:eastAsia="es-CO"/>
        </w:rPr>
        <w:t xml:space="preserve"> Los servicios de administración de fondos del Estado y los servicios vinculados con la seguridad social de acuerdo con lo previsto en la Ley 100 de 1993.</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3</w:t>
      </w:r>
      <w:r w:rsidRPr="006F6B75">
        <w:rPr>
          <w:rFonts w:ascii="Times New Roman" w:eastAsia="Times New Roman" w:hAnsi="Times New Roman" w:cs="Times New Roman"/>
          <w:sz w:val="24"/>
          <w:szCs w:val="24"/>
          <w:lang w:eastAsia="es-CO"/>
        </w:rPr>
        <w:t>. 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4</w:t>
      </w:r>
      <w:r w:rsidRPr="006F6B75">
        <w:rPr>
          <w:rFonts w:ascii="Times New Roman" w:eastAsia="Times New Roman" w:hAnsi="Times New Roman" w:cs="Times New Roman"/>
          <w:sz w:val="24"/>
          <w:szCs w:val="24"/>
          <w:lang w:eastAsia="es-CO"/>
        </w:rPr>
        <w:t>. 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5</w:t>
      </w:r>
      <w:r w:rsidRPr="006F6B75">
        <w:rPr>
          <w:rFonts w:ascii="Times New Roman" w:eastAsia="Times New Roman" w:hAnsi="Times New Roman" w:cs="Times New Roman"/>
          <w:sz w:val="24"/>
          <w:szCs w:val="24"/>
          <w:lang w:eastAsia="es-CO"/>
        </w:rPr>
        <w:t>. 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relativos a restaurantes, cafeterías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6</w:t>
      </w:r>
      <w:r w:rsidRPr="006F6B75">
        <w:rPr>
          <w:rFonts w:ascii="Times New Roman" w:eastAsia="Times New Roman" w:hAnsi="Times New Roman" w:cs="Times New Roman"/>
          <w:sz w:val="24"/>
          <w:szCs w:val="24"/>
          <w:lang w:eastAsia="es-CO"/>
        </w:rPr>
        <w:t>. Los servicios de educación virtual para el desarrollo de contenidos digitales, de acuerdo con la reglamentación expedida por el Ministerio de Tecnologías de la Información y las Comunicaciones, prestados en Colombia o en el exterior.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7</w:t>
      </w:r>
      <w:r w:rsidRPr="006F6B75">
        <w:rPr>
          <w:rFonts w:ascii="Times New Roman" w:eastAsia="Times New Roman" w:hAnsi="Times New Roman" w:cs="Times New Roman"/>
          <w:sz w:val="24"/>
          <w:szCs w:val="24"/>
          <w:lang w:eastAsia="es-CO"/>
        </w:rPr>
        <w:t>. Los servicios de conexión y acceso a internet de los usuarios residenciales del estrato 3.</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8.</w:t>
      </w:r>
      <w:r w:rsidRPr="006F6B75">
        <w:rPr>
          <w:rFonts w:ascii="Times New Roman" w:eastAsia="Times New Roman" w:hAnsi="Times New Roman" w:cs="Times New Roman"/>
          <w:sz w:val="24"/>
          <w:szCs w:val="24"/>
          <w:lang w:eastAsia="es-CO"/>
        </w:rPr>
        <w:t xml:space="preserve"> 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9.</w:t>
      </w:r>
      <w:r w:rsidRPr="006F6B75">
        <w:rPr>
          <w:rFonts w:ascii="Times New Roman" w:eastAsia="Times New Roman" w:hAnsi="Times New Roman" w:cs="Times New Roman"/>
          <w:sz w:val="24"/>
          <w:szCs w:val="24"/>
          <w:lang w:eastAsia="es-CO"/>
        </w:rPr>
        <w:t xml:space="preserve">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10</w:t>
      </w:r>
      <w:r w:rsidRPr="006F6B75">
        <w:rPr>
          <w:rFonts w:ascii="Times New Roman" w:eastAsia="Times New Roman" w:hAnsi="Times New Roman" w:cs="Times New Roman"/>
          <w:sz w:val="24"/>
          <w:szCs w:val="24"/>
          <w:lang w:eastAsia="es-CO"/>
        </w:rPr>
        <w:t xml:space="preserve">. 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Nuquí, en el Departamento de Chocó, </w:t>
      </w:r>
      <w:proofErr w:type="spellStart"/>
      <w:r w:rsidRPr="006F6B75">
        <w:rPr>
          <w:rFonts w:ascii="Times New Roman" w:eastAsia="Times New Roman" w:hAnsi="Times New Roman" w:cs="Times New Roman"/>
          <w:sz w:val="24"/>
          <w:szCs w:val="24"/>
          <w:lang w:eastAsia="es-CO"/>
        </w:rPr>
        <w:t>Mompóx</w:t>
      </w:r>
      <w:proofErr w:type="spellEnd"/>
      <w:r w:rsidRPr="006F6B75">
        <w:rPr>
          <w:rFonts w:ascii="Times New Roman" w:eastAsia="Times New Roman" w:hAnsi="Times New Roman" w:cs="Times New Roman"/>
          <w:sz w:val="24"/>
          <w:szCs w:val="24"/>
          <w:lang w:eastAsia="es-CO"/>
        </w:rPr>
        <w:t xml:space="preserve"> en el Departamento de Bolívar y Tolú, en el Departamento de Sucre.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11.</w:t>
      </w:r>
      <w:r w:rsidRPr="006F6B75">
        <w:rPr>
          <w:rFonts w:ascii="Times New Roman" w:eastAsia="Times New Roman" w:hAnsi="Times New Roman" w:cs="Times New Roman"/>
          <w:sz w:val="24"/>
          <w:szCs w:val="24"/>
          <w:lang w:eastAsia="es-CO"/>
        </w:rPr>
        <w:t xml:space="preserve"> Los servicios públicos de energía. La energía y los servicios públicos de energía a base de gas u otros insumos.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lastRenderedPageBreak/>
        <w:t>12</w:t>
      </w:r>
      <w:r w:rsidRPr="006F6B75">
        <w:rPr>
          <w:rFonts w:ascii="Times New Roman" w:eastAsia="Times New Roman" w:hAnsi="Times New Roman" w:cs="Times New Roman"/>
          <w:sz w:val="24"/>
          <w:szCs w:val="24"/>
          <w:lang w:eastAsia="es-CO"/>
        </w:rPr>
        <w:t>. El agua para la prestación del servicio público de acueducto y alcantarillado, los servicios públicos de acueducto y alcantarillado, los servicios de aseo público y los servicios públicos de recolección de basuras.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13</w:t>
      </w:r>
      <w:r w:rsidRPr="006F6B75">
        <w:rPr>
          <w:rFonts w:ascii="Times New Roman" w:eastAsia="Times New Roman" w:hAnsi="Times New Roman" w:cs="Times New Roman"/>
          <w:sz w:val="24"/>
          <w:szCs w:val="24"/>
          <w:lang w:eastAsia="es-CO"/>
        </w:rPr>
        <w:t>. El gas para la prestación del servicio público de gas domiciliario y el servicio de gas domiciliario, ya sea conducido por tubería o distribuido en cilindros.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14</w:t>
      </w:r>
      <w:r w:rsidRPr="006F6B75">
        <w:rPr>
          <w:rFonts w:ascii="Times New Roman" w:eastAsia="Times New Roman" w:hAnsi="Times New Roman" w:cs="Times New Roman"/>
          <w:sz w:val="24"/>
          <w:szCs w:val="24"/>
          <w:lang w:eastAsia="es-CO"/>
        </w:rPr>
        <w:t>.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15</w:t>
      </w:r>
      <w:r w:rsidRPr="006F6B75">
        <w:rPr>
          <w:rFonts w:ascii="Times New Roman" w:eastAsia="Times New Roman" w:hAnsi="Times New Roman" w:cs="Times New Roman"/>
          <w:sz w:val="24"/>
          <w:szCs w:val="24"/>
          <w:lang w:eastAsia="es-CO"/>
        </w:rPr>
        <w:t>. El servicio de arrendamiento de inmuebles para vivienda y el arrendamiento de espacios para exposiciones y muestras artesanales nacionales, incluidos los eventos artísticos y culturales.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16</w:t>
      </w:r>
      <w:r w:rsidRPr="006F6B75">
        <w:rPr>
          <w:rFonts w:ascii="Times New Roman" w:eastAsia="Times New Roman" w:hAnsi="Times New Roman" w:cs="Times New Roman"/>
          <w:sz w:val="24"/>
          <w:szCs w:val="24"/>
          <w:lang w:eastAsia="es-CO"/>
        </w:rPr>
        <w:t>. Los intereses y rendimientos financieros por operaciones de crédito, siempre que no formen parte de la base gravable señalada en el </w:t>
      </w:r>
      <w:hyperlink r:id="rId26" w:tooltip="Estatuto Tributario CETA" w:history="1">
        <w:r w:rsidRPr="006F6B75">
          <w:rPr>
            <w:rFonts w:ascii="Times New Roman" w:eastAsia="Times New Roman" w:hAnsi="Times New Roman" w:cs="Times New Roman"/>
            <w:sz w:val="24"/>
            <w:szCs w:val="24"/>
            <w:lang w:eastAsia="es-CO"/>
          </w:rPr>
          <w:t>artículo 447</w:t>
        </w:r>
      </w:hyperlink>
      <w:r w:rsidRPr="006F6B75">
        <w:rPr>
          <w:rFonts w:ascii="Times New Roman" w:eastAsia="Times New Roman" w:hAnsi="Times New Roman" w:cs="Times New Roman"/>
          <w:sz w:val="24"/>
          <w:szCs w:val="24"/>
          <w:lang w:eastAsia="es-CO"/>
        </w:rPr>
        <w:t>, y el arrendamiento financiero (leasing).</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17</w:t>
      </w:r>
      <w:r w:rsidRPr="006F6B75">
        <w:rPr>
          <w:rFonts w:ascii="Times New Roman" w:eastAsia="Times New Roman" w:hAnsi="Times New Roman" w:cs="Times New Roman"/>
          <w:sz w:val="24"/>
          <w:szCs w:val="24"/>
          <w:lang w:eastAsia="es-CO"/>
        </w:rPr>
        <w:t>. Los servicios de intermediación para el pago de incentivos o transferencias monetarias condicionadas en el marco de los programas sociales el Gobierno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18</w:t>
      </w:r>
      <w:r w:rsidRPr="006F6B75">
        <w:rPr>
          <w:rFonts w:ascii="Times New Roman" w:eastAsia="Times New Roman" w:hAnsi="Times New Roman" w:cs="Times New Roman"/>
          <w:sz w:val="24"/>
          <w:szCs w:val="24"/>
          <w:lang w:eastAsia="es-CO"/>
        </w:rPr>
        <w:t>. Las boletas de entrada a cine, a los eventos deportivos, culturales, incluidos los musicales y de recreación familiar, y los espectáculos de toros, hípicos y caninos. También se encuentran excluidos los servicios de que trata el artículo 6° de la Ley 1493 de 2011.</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19</w:t>
      </w:r>
      <w:r w:rsidRPr="006F6B75">
        <w:rPr>
          <w:rFonts w:ascii="Times New Roman" w:eastAsia="Times New Roman" w:hAnsi="Times New Roman" w:cs="Times New Roman"/>
          <w:sz w:val="24"/>
          <w:szCs w:val="24"/>
          <w:lang w:eastAsia="es-CO"/>
        </w:rPr>
        <w:t>. Los servicios funerarios, los de cremación, inhumación y exhumación de cadáveres, alquiler y mantenimiento de tumbas y mausoleos.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20</w:t>
      </w:r>
      <w:r w:rsidRPr="006F6B75">
        <w:rPr>
          <w:rFonts w:ascii="Times New Roman" w:eastAsia="Times New Roman" w:hAnsi="Times New Roman" w:cs="Times New Roman"/>
          <w:sz w:val="24"/>
          <w:szCs w:val="24"/>
          <w:lang w:eastAsia="es-CO"/>
        </w:rPr>
        <w:t>. Adquisición de licencias de software para el desarrollo comercial de contenidos digitales, de acuerdo con la reglamentación expedida por el Ministerio de Tecnologías de la Información y Comunicaciones.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21</w:t>
      </w:r>
      <w:r w:rsidRPr="006F6B75">
        <w:rPr>
          <w:rFonts w:ascii="Times New Roman" w:eastAsia="Times New Roman" w:hAnsi="Times New Roman" w:cs="Times New Roman"/>
          <w:sz w:val="24"/>
          <w:szCs w:val="24"/>
          <w:lang w:eastAsia="es-CO"/>
        </w:rPr>
        <w:t>. Suministro de páginas web, servidores (hosting), computación en la nube (</w:t>
      </w:r>
      <w:proofErr w:type="spellStart"/>
      <w:r w:rsidRPr="006F6B75">
        <w:rPr>
          <w:rFonts w:ascii="Times New Roman" w:eastAsia="Times New Roman" w:hAnsi="Times New Roman" w:cs="Times New Roman"/>
          <w:sz w:val="24"/>
          <w:szCs w:val="24"/>
          <w:lang w:eastAsia="es-CO"/>
        </w:rPr>
        <w:t>cloud</w:t>
      </w:r>
      <w:proofErr w:type="spellEnd"/>
      <w:r w:rsidRPr="006F6B75">
        <w:rPr>
          <w:rFonts w:ascii="Times New Roman" w:eastAsia="Times New Roman" w:hAnsi="Times New Roman" w:cs="Times New Roman"/>
          <w:sz w:val="24"/>
          <w:szCs w:val="24"/>
          <w:lang w:eastAsia="es-CO"/>
        </w:rPr>
        <w:t xml:space="preserve"> </w:t>
      </w:r>
      <w:proofErr w:type="spellStart"/>
      <w:r w:rsidRPr="006F6B75">
        <w:rPr>
          <w:rFonts w:ascii="Times New Roman" w:eastAsia="Times New Roman" w:hAnsi="Times New Roman" w:cs="Times New Roman"/>
          <w:sz w:val="24"/>
          <w:szCs w:val="24"/>
          <w:lang w:eastAsia="es-CO"/>
        </w:rPr>
        <w:t>computing</w:t>
      </w:r>
      <w:proofErr w:type="spellEnd"/>
      <w:r w:rsidRPr="006F6B75">
        <w:rPr>
          <w:rFonts w:ascii="Times New Roman" w:eastAsia="Times New Roman" w:hAnsi="Times New Roman" w:cs="Times New Roman"/>
          <w:sz w:val="24"/>
          <w:szCs w:val="24"/>
          <w:lang w:eastAsia="es-CO"/>
        </w:rPr>
        <w: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22.</w:t>
      </w:r>
      <w:r w:rsidRPr="006F6B75">
        <w:rPr>
          <w:rFonts w:ascii="Times New Roman" w:eastAsia="Times New Roman" w:hAnsi="Times New Roman" w:cs="Times New Roman"/>
          <w:sz w:val="24"/>
          <w:szCs w:val="24"/>
          <w:lang w:eastAsia="es-CO"/>
        </w:rPr>
        <w:t xml:space="preserve"> Las comisiones pagadas por los servicios que se presten para el desarrollo de procesos de titularización de activos a través de universalidades y patrimonios autónomos cuyo pago se realice exclusivamente con cargo a los recursos de tales universalidades o patrimonios autónomos.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23</w:t>
      </w:r>
      <w:r w:rsidRPr="006F6B75">
        <w:rPr>
          <w:rFonts w:ascii="Times New Roman" w:eastAsia="Times New Roman" w:hAnsi="Times New Roman" w:cs="Times New Roman"/>
          <w:sz w:val="24"/>
          <w:szCs w:val="24"/>
          <w:lang w:eastAsia="es-CO"/>
        </w:rPr>
        <w:t>. Las comisiones percibidas por las sociedades fiduciarias y comisionistas de bolsa por la administración de fondos de inversión colectiva.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24</w:t>
      </w:r>
      <w:r w:rsidRPr="006F6B75">
        <w:rPr>
          <w:rFonts w:ascii="Times New Roman" w:eastAsia="Times New Roman" w:hAnsi="Times New Roman" w:cs="Times New Roman"/>
          <w:sz w:val="24"/>
          <w:szCs w:val="24"/>
          <w:lang w:eastAsia="es-CO"/>
        </w:rPr>
        <w:t>. Los siguientes servicios, siempre que se destinen a la adecuación de tierras, a la producción agropecuaria y pesquera y a la comercialización de los respectivos productos: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El riego de terrenos dedicados a la explotación agropecuaria;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El diseño de sistemas de riego, su instalación, construcción, operación, administración y conservación;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La construcción de reservorios para la actividad agropecuaria;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La preparación y limpieza de terrenos de siembra;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El control de plagas, enfermedades y malezas, incluida la fumigación aérea y terrestre de sembradíos;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El corte y recolección manual y mecanizada de productos agropecuarios;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g) Aplicación de fertilizantes y elementos de nutrición edáfica y foliar de los cultivos;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 Aplicación de sales mineralizadas;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i) Aplicación de enmiendas agrícolas;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j) Aplicación de insumos como vacunas y productos veterinarios;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k) El pesaje y el alquiler de corrales en ferias de ganado mayor y menor;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 La siembra;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m) La construcción de drenajes para la agricultura;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n) La construcción de estanques para la piscicultura;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o) Los programas de sanidad animal;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 La perforación de pozos profundos para la extracción de agua;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q) El desmonte de algodón, la trilla y el secamiento de productos agrícolas;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r) La selección, clasificación y el empaque de productos agropecuarios sin procesamiento industrial;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 La asistencia técnica en el sector agropecuario;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 La captura, procesamiento y comercialización de productos pesqueros;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w:t>
      </w:r>
      <w:hyperlink r:id="rId27" w:tooltip="Estatuto Tributario CETA" w:history="1">
        <w:r w:rsidRPr="006F6B75">
          <w:rPr>
            <w:rFonts w:ascii="Times New Roman" w:eastAsia="Times New Roman" w:hAnsi="Times New Roman" w:cs="Times New Roman"/>
            <w:sz w:val="24"/>
            <w:szCs w:val="24"/>
            <w:lang w:eastAsia="es-CO"/>
          </w:rPr>
          <w:t>artículo 632</w:t>
        </w:r>
      </w:hyperlink>
      <w:r w:rsidRPr="006F6B75">
        <w:rPr>
          <w:rFonts w:ascii="Times New Roman" w:eastAsia="Times New Roman" w:hAnsi="Times New Roman" w:cs="Times New Roman"/>
          <w:sz w:val="24"/>
          <w:szCs w:val="24"/>
          <w:lang w:eastAsia="es-CO"/>
        </w:rPr>
        <w:t> del Estatuto Tributario, la cual servirá como soporte para la exclusión de los servicios.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25</w:t>
      </w:r>
      <w:r w:rsidRPr="006F6B75">
        <w:rPr>
          <w:rFonts w:ascii="Times New Roman" w:eastAsia="Times New Roman" w:hAnsi="Times New Roman" w:cs="Times New Roman"/>
          <w:sz w:val="24"/>
          <w:szCs w:val="24"/>
          <w:lang w:eastAsia="es-CO"/>
        </w:rPr>
        <w:t>. La comercialización de animales vivos y el servicio de faenamiento.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26</w:t>
      </w:r>
      <w:r w:rsidRPr="006F6B75">
        <w:rPr>
          <w:rFonts w:ascii="Times New Roman" w:eastAsia="Times New Roman" w:hAnsi="Times New Roman" w:cs="Times New Roman"/>
          <w:sz w:val="24"/>
          <w:szCs w:val="24"/>
          <w:lang w:eastAsia="es-CO"/>
        </w:rPr>
        <w:t>. A partir del 1º de enero de 2019, estarán excluidos de IVA los servicios de hotelería y turismo que sean prestados en los municipios que integran las siguientes zonas de régimen aduanero especial: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Zona de régimen aduanero especial de Urabá, Tumaco y Guapi.</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Zona de régimen aduanero especial de Inírida, Puerto Carreña, La Primavera y Cumaribo.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Zona de régimen aduanero especial de Maicao, Uribía y Manaure.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27.</w:t>
      </w:r>
      <w:r w:rsidRPr="006F6B75">
        <w:rPr>
          <w:rFonts w:ascii="Times New Roman" w:eastAsia="Times New Roman" w:hAnsi="Times New Roman" w:cs="Times New Roman"/>
          <w:sz w:val="24"/>
          <w:szCs w:val="24"/>
          <w:lang w:eastAsia="es-CO"/>
        </w:rPr>
        <w:t xml:space="preserve"> Las operaciones cambiarias de compra y venta de divisas, así como las operaciones cambiarias sobre instrumentos derivados financieros.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28.</w:t>
      </w:r>
      <w:r w:rsidRPr="006F6B75">
        <w:rPr>
          <w:rFonts w:ascii="Times New Roman" w:eastAsia="Times New Roman" w:hAnsi="Times New Roman" w:cs="Times New Roman"/>
          <w:sz w:val="24"/>
          <w:szCs w:val="24"/>
          <w:lang w:eastAsia="es-CO"/>
        </w:rPr>
        <w:t xml:space="preserve"> Las comisiones percibidas por la utilización de tarjetas crédito y débito.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lastRenderedPageBreak/>
        <w:t>29.</w:t>
      </w:r>
      <w:r w:rsidRPr="006F6B75">
        <w:rPr>
          <w:rFonts w:ascii="Times New Roman" w:eastAsia="Times New Roman" w:hAnsi="Times New Roman" w:cs="Times New Roman"/>
          <w:sz w:val="24"/>
          <w:szCs w:val="24"/>
          <w:lang w:eastAsia="es-CO"/>
        </w:rPr>
        <w:t xml:space="preserve"> Los servicios de promoción y fomento deportivo prestados por los clubes deportivos definidos en el artículo 2° del Decreto-ley 1228 de 1995.</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30.</w:t>
      </w:r>
      <w:r w:rsidRPr="006F6B75">
        <w:rPr>
          <w:rFonts w:ascii="Times New Roman" w:eastAsia="Times New Roman" w:hAnsi="Times New Roman" w:cs="Times New Roman"/>
          <w:sz w:val="24"/>
          <w:szCs w:val="24"/>
          <w:lang w:eastAsia="es-CO"/>
        </w:rPr>
        <w:t xml:space="preserve"> Los servicios de reparación y mantenimiento de naves y artefactos navales tanto marítimos como fluviales de bandera colombiana, excepto los servicios que se encuentran en el literal P) del numeral 3 del </w:t>
      </w:r>
      <w:hyperlink r:id="rId28" w:tooltip="Estatuto Tributario CETA" w:history="1">
        <w:r w:rsidRPr="006F6B75">
          <w:rPr>
            <w:rFonts w:ascii="Times New Roman" w:eastAsia="Times New Roman" w:hAnsi="Times New Roman" w:cs="Times New Roman"/>
            <w:sz w:val="24"/>
            <w:szCs w:val="24"/>
            <w:lang w:eastAsia="es-CO"/>
          </w:rPr>
          <w:t>artículo 477</w:t>
        </w:r>
      </w:hyperlink>
      <w:r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sz w:val="24"/>
          <w:szCs w:val="24"/>
          <w:lang w:eastAsia="es-CO"/>
        </w:rPr>
        <w:t>31</w:t>
      </w:r>
      <w:r w:rsidRPr="006F6B75">
        <w:rPr>
          <w:rFonts w:ascii="Times New Roman" w:eastAsia="Times New Roman" w:hAnsi="Times New Roman" w:cs="Times New Roman"/>
          <w:sz w:val="24"/>
          <w:szCs w:val="24"/>
          <w:lang w:eastAsia="es-CO"/>
        </w:rPr>
        <w:t>. Los servicios de publicidad en periódicos que registren ventas en publicidad a 31 de diciembre del año inmediatamente anterior inferiores a 180.000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exclusiones previstas en este numeral no se aplicarán a las empresas que surjan como consecuencia de la escisión de sociedades que antes de la expedición de la presente ley conformen una sola empresa ni a las nuevas empresas que se creen cuya matriz o empresa dominante se encuentre gravada con el IVA por este concepto.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 dispuesto en el presente parágrafo no aplica para las industrias de minería e hidrocarburos.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w:t>
      </w:r>
      <w:r w:rsidRPr="006F6B75">
        <w:rPr>
          <w:rFonts w:ascii="Times New Roman" w:eastAsia="Times New Roman" w:hAnsi="Times New Roman" w:cs="Times New Roman"/>
          <w:sz w:val="24"/>
          <w:szCs w:val="24"/>
          <w:lang w:eastAsia="es-CO"/>
        </w:rPr>
        <w:t> Modifíquese el numeral 1, adiciónense los numerales 4 y 5, un parágrafo 4° y un parágrafo transitorio al </w:t>
      </w:r>
      <w:hyperlink r:id="rId29" w:tooltip="Estatuto Tributario CETA" w:history="1">
        <w:r w:rsidRPr="006F6B75">
          <w:rPr>
            <w:rFonts w:ascii="Times New Roman" w:eastAsia="Times New Roman" w:hAnsi="Times New Roman" w:cs="Times New Roman"/>
            <w:sz w:val="24"/>
            <w:szCs w:val="24"/>
            <w:lang w:eastAsia="es-CO"/>
          </w:rPr>
          <w:t>artículo 477</w:t>
        </w:r>
      </w:hyperlink>
      <w:r w:rsidRPr="006F6B75">
        <w:rPr>
          <w:rFonts w:ascii="Times New Roman" w:eastAsia="Times New Roman" w:hAnsi="Times New Roman" w:cs="Times New Roman"/>
          <w:sz w:val="24"/>
          <w:szCs w:val="24"/>
          <w:lang w:eastAsia="es-CO"/>
        </w:rPr>
        <w:t> del Estatuto Tributario,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Alcohol carburante con destino a la mezcla con gasolina para los vehículos automotores; y el biocombustible de origen vegetal o animal para uso en motores diésel de producción nacional con destino a la mezcla con ACPM.</w:t>
      </w:r>
    </w:p>
    <w:p w:rsidR="00EF6751" w:rsidRPr="006F6B75" w:rsidRDefault="00EF6751"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Los vehículos automotores de transporte público de pasajeros completos y el chasis con motor y la carrocería adquiridos 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w:t>
      </w:r>
    </w:p>
    <w:p w:rsidR="00EF6751" w:rsidRPr="006F6B75" w:rsidRDefault="00EF6751"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w:t>
      </w:r>
      <w:r w:rsidRPr="006F6B75">
        <w:rPr>
          <w:rFonts w:ascii="Times New Roman" w:eastAsia="Times New Roman" w:hAnsi="Times New Roman" w:cs="Times New Roman"/>
          <w:sz w:val="24"/>
          <w:szCs w:val="24"/>
          <w:lang w:eastAsia="es-CO"/>
        </w:rPr>
        <w:lastRenderedPageBreak/>
        <w:t>propietarios de hasta de dos (2) vehículos y para efectos de la reposición de uno o dos vehículos propios, por una única vez. Este beneficio tendrá vigencia de cinco (5) años.</w:t>
      </w:r>
    </w:p>
    <w:p w:rsidR="0023324F" w:rsidRPr="006F6B75" w:rsidRDefault="0023324F"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Para la aplicación de la exención a que se refieren los numerales 4 y 5,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 para la aplicación de dicho beneficio.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w:t>
      </w:r>
      <w:r w:rsidRPr="006F6B75">
        <w:rPr>
          <w:rFonts w:ascii="Times New Roman" w:eastAsia="Times New Roman" w:hAnsi="Times New Roman" w:cs="Times New Roman"/>
          <w:sz w:val="24"/>
          <w:szCs w:val="24"/>
          <w:lang w:eastAsia="es-CO"/>
        </w:rPr>
        <w:t>Los vehículos automotores destinados al servicio de transporte público de pasajeros, que se adquirieron y/o importaron en el año 2018, y se matricularon o están en trámite de matrícula con base en una certificación de cumplimiento de requisitos para el registro inicial de vehículo nuevo en reposición con exclusión de IVA (CREI), tendrán el tratamiento tributario previsto en el numeral 10 del </w:t>
      </w:r>
      <w:hyperlink r:id="rId30" w:tooltip="Estatuto Tributario CETA" w:history="1">
        <w:r w:rsidRPr="006F6B75">
          <w:rPr>
            <w:rFonts w:ascii="Times New Roman" w:eastAsia="Times New Roman" w:hAnsi="Times New Roman" w:cs="Times New Roman"/>
            <w:sz w:val="24"/>
            <w:szCs w:val="24"/>
            <w:lang w:eastAsia="es-CO"/>
          </w:rPr>
          <w:t>artículo 424</w:t>
        </w:r>
      </w:hyperlink>
      <w:r w:rsidRPr="006F6B75">
        <w:rPr>
          <w:rFonts w:ascii="Times New Roman" w:eastAsia="Times New Roman" w:hAnsi="Times New Roman" w:cs="Times New Roman"/>
          <w:sz w:val="24"/>
          <w:szCs w:val="24"/>
          <w:lang w:eastAsia="es-CO"/>
        </w:rPr>
        <w:t> vigente para la fecha de su adquisición.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12.</w:t>
      </w:r>
      <w:r w:rsidRPr="006F6B75">
        <w:rPr>
          <w:rFonts w:ascii="Times New Roman" w:eastAsia="Times New Roman" w:hAnsi="Times New Roman" w:cs="Times New Roman"/>
          <w:sz w:val="24"/>
          <w:szCs w:val="24"/>
          <w:lang w:eastAsia="es-CO"/>
        </w:rPr>
        <w:t> Modifíquense el artículo 32 de la Ley 1575 de 2012,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32. </w:t>
      </w:r>
      <w:r w:rsidRPr="006F6B75">
        <w:rPr>
          <w:rFonts w:ascii="Times New Roman" w:eastAsia="Times New Roman" w:hAnsi="Times New Roman" w:cs="Times New Roman"/>
          <w:b/>
          <w:bCs/>
          <w:i/>
          <w:iCs/>
          <w:sz w:val="24"/>
          <w:szCs w:val="24"/>
          <w:lang w:eastAsia="es-CO"/>
        </w:rPr>
        <w:t>Adquisición de equipos. </w:t>
      </w:r>
      <w:r w:rsidRPr="006F6B75">
        <w:rPr>
          <w:rFonts w:ascii="Times New Roman" w:eastAsia="Times New Roman" w:hAnsi="Times New Roman" w:cs="Times New Roman"/>
          <w:sz w:val="24"/>
          <w:szCs w:val="24"/>
          <w:lang w:eastAsia="es-CO"/>
        </w:rPr>
        <w:t>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exenciones dispuestas en el presente artículo para la adquisición por compra o donación de vehículos, equipos o elementos nuevos o usados utilizados para la gestión integral del riesgo contra incendio, los preparativos y atención de rescate a la actividad bomberil y la atención de incidentes con materiales peligrosos aplicara solamente para Bomberos de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nacionalización y los registros que requiera el respectivo equipo se harán a nombre del cuerpo de bomberos que lo adquiera.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 la donación de vehículos usados, estos no podrán tener una vida superior a diez (10) años, respecto de la fecha de su fabricación.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Así mismo los cuerpos de bomberos estarán exentos de pago de impuestos de renta y de peajes para todos los vehículos de las instituciones bomberiles debidamente acreditados e identificados con sus logos respectivos.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13.</w:t>
      </w:r>
      <w:r w:rsidRPr="006F6B75">
        <w:rPr>
          <w:rFonts w:ascii="Times New Roman" w:eastAsia="Times New Roman" w:hAnsi="Times New Roman" w:cs="Times New Roman"/>
          <w:sz w:val="24"/>
          <w:szCs w:val="24"/>
          <w:lang w:eastAsia="es-CO"/>
        </w:rPr>
        <w:t> Modifíquese el inciso 1° del </w:t>
      </w:r>
      <w:hyperlink r:id="rId31" w:tooltip="Estatuto Tributario CETA" w:history="1">
        <w:r w:rsidRPr="006F6B75">
          <w:rPr>
            <w:rFonts w:ascii="Times New Roman" w:eastAsia="Times New Roman" w:hAnsi="Times New Roman" w:cs="Times New Roman"/>
            <w:sz w:val="24"/>
            <w:szCs w:val="24"/>
            <w:lang w:eastAsia="es-CO"/>
          </w:rPr>
          <w:t>artículo 486-1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32" w:tooltip="Estatuto Tributario CETA" w:history="1">
        <w:r w:rsidR="00296598" w:rsidRPr="006F6B75">
          <w:rPr>
            <w:rFonts w:ascii="Times New Roman" w:eastAsia="Times New Roman" w:hAnsi="Times New Roman" w:cs="Times New Roman"/>
            <w:b/>
            <w:bCs/>
            <w:sz w:val="24"/>
            <w:szCs w:val="24"/>
            <w:lang w:eastAsia="es-CO"/>
          </w:rPr>
          <w:t>Artículo 486-1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Determinación del impuesto en los servicios financieros. </w:t>
      </w:r>
      <w:r w:rsidR="00296598" w:rsidRPr="006F6B75">
        <w:rPr>
          <w:rFonts w:ascii="Times New Roman" w:eastAsia="Times New Roman" w:hAnsi="Times New Roman" w:cs="Times New Roman"/>
          <w:sz w:val="24"/>
          <w:szCs w:val="24"/>
          <w:lang w:eastAsia="es-CO"/>
        </w:rPr>
        <w:t>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los numerales 2, 16 y 23 del </w:t>
      </w:r>
      <w:hyperlink r:id="rId33" w:tooltip="Estatuto Tributario CETA" w:history="1">
        <w:r w:rsidR="00296598" w:rsidRPr="006F6B75">
          <w:rPr>
            <w:rFonts w:ascii="Times New Roman" w:eastAsia="Times New Roman" w:hAnsi="Times New Roman" w:cs="Times New Roman"/>
            <w:sz w:val="24"/>
            <w:szCs w:val="24"/>
            <w:lang w:eastAsia="es-CO"/>
          </w:rPr>
          <w:t>artículo 476</w:t>
        </w:r>
      </w:hyperlink>
      <w:r w:rsidR="00296598" w:rsidRPr="006F6B75">
        <w:rPr>
          <w:rFonts w:ascii="Times New Roman" w:eastAsia="Times New Roman" w:hAnsi="Times New Roman" w:cs="Times New Roman"/>
          <w:sz w:val="24"/>
          <w:szCs w:val="24"/>
          <w:lang w:eastAsia="es-CO"/>
        </w:rPr>
        <w:t> de este Estatuto, ni al servicio de seguros que seguirá rigiéndose por las disposiciones especiales contempladas en este Estatuto.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14. </w:t>
      </w:r>
      <w:r w:rsidRPr="006F6B75">
        <w:rPr>
          <w:rFonts w:ascii="Times New Roman" w:eastAsia="Times New Roman" w:hAnsi="Times New Roman" w:cs="Times New Roman"/>
          <w:sz w:val="24"/>
          <w:szCs w:val="24"/>
          <w:lang w:eastAsia="es-CO"/>
        </w:rPr>
        <w:t>Modifíquese el </w:t>
      </w:r>
      <w:hyperlink r:id="rId34" w:tooltip="Estatuto Tributario CETA" w:history="1">
        <w:r w:rsidRPr="006F6B75">
          <w:rPr>
            <w:rFonts w:ascii="Times New Roman" w:eastAsia="Times New Roman" w:hAnsi="Times New Roman" w:cs="Times New Roman"/>
            <w:sz w:val="24"/>
            <w:szCs w:val="24"/>
            <w:lang w:eastAsia="es-CO"/>
          </w:rPr>
          <w:t>artículo 508-1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35" w:tooltip="Estatuto Tributario CETA" w:history="1">
        <w:r w:rsidR="00296598" w:rsidRPr="006F6B75">
          <w:rPr>
            <w:rFonts w:ascii="Times New Roman" w:eastAsia="Times New Roman" w:hAnsi="Times New Roman" w:cs="Times New Roman"/>
            <w:b/>
            <w:bCs/>
            <w:sz w:val="24"/>
            <w:szCs w:val="24"/>
            <w:lang w:eastAsia="es-CO"/>
          </w:rPr>
          <w:t>Artículo 508-1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Cambio de régimen por la administración. </w:t>
      </w:r>
      <w:r w:rsidR="00296598" w:rsidRPr="006F6B75">
        <w:rPr>
          <w:rFonts w:ascii="Times New Roman" w:eastAsia="Times New Roman" w:hAnsi="Times New Roman" w:cs="Times New Roman"/>
          <w:sz w:val="24"/>
          <w:szCs w:val="24"/>
          <w:lang w:eastAsia="es-CO"/>
        </w:rPr>
        <w:t>Para efectos de control tributario, la Administración Tributaria podrá oficiosamente reclasificar a los no responsables en responsables, cuando cuente con información objetiva que evidencie que son responsables del impuesto, entre otras circunstancias, que: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3324F">
      <w:pPr>
        <w:pStyle w:val="Prrafodelista"/>
        <w:numPr>
          <w:ilvl w:val="0"/>
          <w:numId w:val="1"/>
        </w:num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Formalmente se cambia de establecimiento de comercio, pero en la práctica sigue funcionando el mismo negocio y las ventas son iguales o superan las 3.500 UVT, o</w:t>
      </w:r>
    </w:p>
    <w:p w:rsidR="0023324F" w:rsidRPr="006F6B75" w:rsidRDefault="0023324F" w:rsidP="0023324F">
      <w:pPr>
        <w:pStyle w:val="Prrafodelista"/>
        <w:spacing w:after="0" w:line="240" w:lineRule="auto"/>
        <w:ind w:left="540"/>
        <w:jc w:val="both"/>
        <w:rPr>
          <w:rFonts w:ascii="Times New Roman" w:eastAsia="Times New Roman" w:hAnsi="Times New Roman" w:cs="Times New Roman"/>
          <w:sz w:val="24"/>
          <w:szCs w:val="24"/>
          <w:lang w:eastAsia="es-CO"/>
        </w:rPr>
      </w:pPr>
    </w:p>
    <w:p w:rsidR="00296598" w:rsidRPr="006F6B75" w:rsidRDefault="00296598" w:rsidP="0023324F">
      <w:pPr>
        <w:pStyle w:val="Prrafodelista"/>
        <w:numPr>
          <w:ilvl w:val="0"/>
          <w:numId w:val="1"/>
        </w:num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Se fracciona la facturación entre varias personas que ocupan el mismo local comercial y la sumatoria de las mismas son iguales o superan las 3.500 UVT, o</w:t>
      </w:r>
    </w:p>
    <w:p w:rsidR="0023324F" w:rsidRPr="006F6B75" w:rsidRDefault="0023324F" w:rsidP="0023324F">
      <w:pPr>
        <w:spacing w:after="0" w:line="240" w:lineRule="auto"/>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Quienes pagan bienes o servicios reportan la existencia de operaciones que son iguales o superan las 3.500 UVT, mediante el sistema de factura electrónica emitida por el contratista cuando realiza operaciones con no responsables.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decisión anterior será notificada al responsable, detallando la información objetiva que lleva a tomar la decisión. Contra la misma no procede recurso alguno y a partir del bimestre siguiente ingresará al nuevo régimen.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15.</w:t>
      </w:r>
      <w:r w:rsidRPr="006F6B75">
        <w:rPr>
          <w:rFonts w:ascii="Times New Roman" w:eastAsia="Times New Roman" w:hAnsi="Times New Roman" w:cs="Times New Roman"/>
          <w:sz w:val="24"/>
          <w:szCs w:val="24"/>
          <w:lang w:eastAsia="es-CO"/>
        </w:rPr>
        <w:t> Modifíquese el </w:t>
      </w:r>
      <w:hyperlink r:id="rId36" w:tooltip="Estatuto Tributario CETA" w:history="1">
        <w:r w:rsidRPr="006F6B75">
          <w:rPr>
            <w:rFonts w:ascii="Times New Roman" w:eastAsia="Times New Roman" w:hAnsi="Times New Roman" w:cs="Times New Roman"/>
            <w:sz w:val="24"/>
            <w:szCs w:val="24"/>
            <w:lang w:eastAsia="es-CO"/>
          </w:rPr>
          <w:t>artículo 508-2</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37" w:tooltip="Estatuto Tributario CETA" w:history="1">
        <w:r w:rsidR="00296598" w:rsidRPr="006F6B75">
          <w:rPr>
            <w:rFonts w:ascii="Times New Roman" w:eastAsia="Times New Roman" w:hAnsi="Times New Roman" w:cs="Times New Roman"/>
            <w:b/>
            <w:bCs/>
            <w:sz w:val="24"/>
            <w:szCs w:val="24"/>
            <w:lang w:eastAsia="es-CO"/>
          </w:rPr>
          <w:t>Artículo 508-2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Tránsito a la condición de responsables del impuesto. </w:t>
      </w:r>
      <w:r w:rsidR="00296598" w:rsidRPr="006F6B75">
        <w:rPr>
          <w:rFonts w:ascii="Times New Roman" w:eastAsia="Times New Roman" w:hAnsi="Times New Roman" w:cs="Times New Roman"/>
          <w:sz w:val="24"/>
          <w:szCs w:val="24"/>
          <w:lang w:eastAsia="es-CO"/>
        </w:rPr>
        <w:t>Los no responsables del Impuesto sobre las Ventas (IVA) pasarán a ser responsables a partir de la iniciación del período inmediatamente siguiente a aquel en el cual dejen de cumplir los requisitos establecidos en el parágrafo 3° del </w:t>
      </w:r>
      <w:hyperlink r:id="rId38" w:tooltip="Estatuto Tributario CETA" w:history="1">
        <w:r w:rsidR="00296598" w:rsidRPr="006F6B75">
          <w:rPr>
            <w:rFonts w:ascii="Times New Roman" w:eastAsia="Times New Roman" w:hAnsi="Times New Roman" w:cs="Times New Roman"/>
            <w:sz w:val="24"/>
            <w:szCs w:val="24"/>
            <w:lang w:eastAsia="es-CO"/>
          </w:rPr>
          <w:t>artículo 437</w:t>
        </w:r>
      </w:hyperlink>
      <w:r w:rsidR="00296598" w:rsidRPr="006F6B75">
        <w:rPr>
          <w:rFonts w:ascii="Times New Roman" w:eastAsia="Times New Roman" w:hAnsi="Times New Roman" w:cs="Times New Roman"/>
          <w:sz w:val="24"/>
          <w:szCs w:val="24"/>
          <w:lang w:eastAsia="es-CO"/>
        </w:rPr>
        <w:t> de este Estatuto, salvo lo previsto en el inciso 2° de dicho parágrafo, en cuyo caso deberán inscribirse previamente a la celebración del contrato correspondiente.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16.</w:t>
      </w:r>
      <w:r w:rsidRPr="006F6B75">
        <w:rPr>
          <w:rFonts w:ascii="Times New Roman" w:eastAsia="Times New Roman" w:hAnsi="Times New Roman" w:cs="Times New Roman"/>
          <w:sz w:val="24"/>
          <w:szCs w:val="24"/>
          <w:lang w:eastAsia="es-CO"/>
        </w:rPr>
        <w:t> Modifíquense los parágrafos 1°, 2° y los parágrafos transitorios 1° y 2° del </w:t>
      </w:r>
      <w:hyperlink r:id="rId39" w:tooltip="Estatuto Tributario CETA" w:history="1">
        <w:r w:rsidRPr="006F6B75">
          <w:rPr>
            <w:rFonts w:ascii="Times New Roman" w:eastAsia="Times New Roman" w:hAnsi="Times New Roman" w:cs="Times New Roman"/>
            <w:sz w:val="24"/>
            <w:szCs w:val="24"/>
            <w:lang w:eastAsia="es-CO"/>
          </w:rPr>
          <w:t>artículo 616-1</w:t>
        </w:r>
      </w:hyperlink>
      <w:r w:rsidRPr="006F6B75">
        <w:rPr>
          <w:rFonts w:ascii="Times New Roman" w:eastAsia="Times New Roman" w:hAnsi="Times New Roman" w:cs="Times New Roman"/>
          <w:sz w:val="24"/>
          <w:szCs w:val="24"/>
          <w:lang w:eastAsia="es-CO"/>
        </w:rPr>
        <w:t> del Estatuto Tributario, y adiciónense los parágrafos 4°, 5° y 6°, y el parágrafo transitorio 3° al mismo artículo,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Todas las facturas electrónicas para su reconocimiento tributario deberán ser validadas previo a su expedición, por la Dirección de Impuestos y Aduanas Nacionales (DIAN) o por un proveedor autorizado por esta.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La factura electrónica solo se entenderá expedida cuando sea validada y entregada al adquirente.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todos los casos, la responsabilidad de la entrega de la factura electrónica para su validación y la entrega al adquiriente una vez validada, corresponde al obligado a facturar.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proveedores autorizados deberán transmitir a la Administración Tributaria las facturas electrónicas que validen.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validación de las facturas electrónicas de que trata este parágrafo no excluye las amplias facultades de fiscalización y control de la Administración Tributaria.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 Dirección de Impuestos y Aduanas Nacionales (DIAN)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Parágrafo 5°. </w:t>
      </w:r>
      <w:r w:rsidRPr="006F6B75">
        <w:rPr>
          <w:rFonts w:ascii="Times New Roman" w:eastAsia="Times New Roman" w:hAnsi="Times New Roman" w:cs="Times New Roman"/>
          <w:sz w:val="24"/>
          <w:szCs w:val="24"/>
          <w:lang w:eastAsia="es-CO"/>
        </w:rPr>
        <w:t>La plataforma de factura electrónica de la Dirección de Impuestos y Aduanas Nacionales (DIAN) incluirá el registro de las facturas electrónicas consideradas como título valor que circulen en el territorio nacional y permitirá su consulta y trazabilidad.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entidades autorizadas para realizar actividades de factoraje tendrán que desarrollar y adaptar sus sistemas tecnológicos a aquellos de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Gobierno Nacional reglamentará la circulación de las facturas electrónicas.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6</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 (IVA).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 1.1 al 1.6.1.4.1.21. del Decreto 1625 de 2016 mantienen su condición de documentos equivalentes. A partir del 1° de enero de 2020, se requerirá factura electrónica para la procedencia de impuestos descontables, y costos o gastos deducibles, de conformidad con la siguiente tabla: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6795"/>
      </w:tblGrid>
      <w:tr w:rsidR="006F6B75" w:rsidRPr="006F6B75" w:rsidTr="007E57D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Porcentaje máximo que podrá soportarse sin factura electrónica</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10%</w:t>
            </w:r>
          </w:p>
        </w:tc>
      </w:tr>
    </w:tbl>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 Dirección de Impuestos y Aduanas Nacionales (DIAN) establecerá el calendario y los sujetos obligados a facturar que deben iniciar la implementación de la factura electrónica durante el año 2019, así como los requisitos técnicos de la factura electrónica para su aplicación específica en los casos de venta de bienes y servicios, pago de nómina, importaciones y exportaciones, pagos al exterior, operaciones de factoraje, entre otras.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Desde el primero de enero de 2019 y hasta el 30 de junio de 2019, quienes estando obligados a expedir factura electrónica incumplan con dicha obligación, no serán sujeto de las sanciones correspondientes previstas en el Estatuto Tributario, siempre y cuando cumplan con las siguientes condiciones: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Expedir factura y/o documentos equivalentes y/o sustitutivos vigentes, por los métodos tradicionales diferentes al electrónico.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Demostrar que la razón por la cual no emitieron facturación electrónica obedece a: i) impedimento tecnológico; o ii) por razones de inconveniencia comercial justificada.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La Dirección de Impuestos y Aduanas Nacionales (DIAN) podrá establecer los requisitos para que las anteriores condiciones se entiendan cumplidas.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17.</w:t>
      </w:r>
      <w:r w:rsidRPr="006F6B75">
        <w:rPr>
          <w:rFonts w:ascii="Times New Roman" w:eastAsia="Times New Roman" w:hAnsi="Times New Roman" w:cs="Times New Roman"/>
          <w:sz w:val="24"/>
          <w:szCs w:val="24"/>
          <w:lang w:eastAsia="es-CO"/>
        </w:rPr>
        <w:t> Modifíquese el </w:t>
      </w:r>
      <w:hyperlink r:id="rId40" w:tooltip="Estatuto Tributario CETA" w:history="1">
        <w:r w:rsidRPr="006F6B75">
          <w:rPr>
            <w:rFonts w:ascii="Times New Roman" w:eastAsia="Times New Roman" w:hAnsi="Times New Roman" w:cs="Times New Roman"/>
            <w:sz w:val="24"/>
            <w:szCs w:val="24"/>
            <w:lang w:eastAsia="es-CO"/>
          </w:rPr>
          <w:t>artículo 616-4</w:t>
        </w:r>
      </w:hyperlink>
      <w:r w:rsidRPr="006F6B75">
        <w:rPr>
          <w:rFonts w:ascii="Times New Roman" w:eastAsia="Times New Roman" w:hAnsi="Times New Roman" w:cs="Times New Roman"/>
          <w:sz w:val="24"/>
          <w:szCs w:val="24"/>
          <w:lang w:eastAsia="es-CO"/>
        </w:rPr>
        <w:t>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41" w:tooltip="Estatuto Tributario CETA" w:history="1">
        <w:r w:rsidR="00296598" w:rsidRPr="006F6B75">
          <w:rPr>
            <w:rFonts w:ascii="Times New Roman" w:eastAsia="Times New Roman" w:hAnsi="Times New Roman" w:cs="Times New Roman"/>
            <w:b/>
            <w:bCs/>
            <w:sz w:val="24"/>
            <w:szCs w:val="24"/>
            <w:lang w:eastAsia="es-CO"/>
          </w:rPr>
          <w:t>Artículo 616-4</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Proveedores tecnológicos, obligaciones e infracciones. </w:t>
      </w:r>
      <w:r w:rsidR="00296598" w:rsidRPr="006F6B75">
        <w:rPr>
          <w:rFonts w:ascii="Times New Roman" w:eastAsia="Times New Roman" w:hAnsi="Times New Roman" w:cs="Times New Roman"/>
          <w:sz w:val="24"/>
          <w:szCs w:val="24"/>
          <w:lang w:eastAsia="es-CO"/>
        </w:rPr>
        <w:t>Será proveedor tecnológico,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Son obligaciones e infracciones de los proveedores tecnológicos las siguientes: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Los proveedores tecnológicos, deberán cumplir las siguientes obligaciones: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Generar y entregar facturas electrónicas atendiendo los términos, requisitos y características exigidos.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Transmitir para validación a la Dirección de Impuestos y Aduanas Nacionales (DIAN) o a un proveedor autorizado por esta, las facturas electrónicas generadas, atendiendo los términos, requisitos y características exigidos.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Cumplir las condiciones y niveles de servicio que para el efecto señale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Garantizar y atender las disposiciones jurídicas relacionadas con la confidencialidad, integridad y reserva de la información.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Mantener, durante la vigencia de la habilitación, las condiciones y requisitos exigidos para ser proveedor tecnológico.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 Garantizar la disponibilidad de los servicios de infraestructura tecnológica que soportan la operación como proveedor tecnológico.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i) Garantizar la fácil interoperabilidad con otros proveedores tecnológicos y obligados a facturar electrónicamente, de acuerdo con lo señalado por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Los proveedores tecnológicos, incurrirán en infracción tributaria cuando realicen cualquiera de las siguientes conductas: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No trasmitir a la Dirección de Impuestos y Aduanas Nacionales (DIAN) las facturas generadas y entregadas, ya sean propias o de sus clientes.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Generar y entregar facturas electrónicas sin el cumplimiento de los términos, requisitos y mecanismos técnicos e informáticos exigidos.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c) Incumplir las condiciones y niveles de servicio que para el efecto señale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Transmitir para validación a la Dirección de Impuestos y Aduanas Nacionales (DIAN), o a un proveedor autorizado por esta las facturas electrónicas generadas sin el cumplimiento de los términos, requisitos y mecanismos técnicos e informáticos exigidos.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Violar las disposiciones jurídicas relacionadas con la confidencialidad y reserva de la información.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Haber obtenido la habilitación como proveedor tecnológico, mediante la utilización de medios y soportes fraudulentos.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g) No mantener durante la vigencia de la habilitación alguna de las condiciones y requisitos exigidos para ser proveedor autorizado.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i) No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j) No garantizar la fácil interoperabilidad con otros proveedores tecnológicos y obligados a facturar electrónicamente, de acuerdo con lo señalado por la Dirección de Impuestos y Aduanas Nacionales (DIAN).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18.</w:t>
      </w:r>
      <w:r w:rsidRPr="006F6B75">
        <w:rPr>
          <w:rFonts w:ascii="Times New Roman" w:eastAsia="Times New Roman" w:hAnsi="Times New Roman" w:cs="Times New Roman"/>
          <w:sz w:val="24"/>
          <w:szCs w:val="24"/>
          <w:lang w:eastAsia="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Impuesto Nacional al Consumo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19.</w:t>
      </w:r>
      <w:r w:rsidRPr="006F6B75">
        <w:rPr>
          <w:rFonts w:ascii="Times New Roman" w:eastAsia="Times New Roman" w:hAnsi="Times New Roman" w:cs="Times New Roman"/>
          <w:sz w:val="24"/>
          <w:szCs w:val="24"/>
          <w:lang w:eastAsia="es-CO"/>
        </w:rPr>
        <w:t> Modifíquese el numeral 3 del </w:t>
      </w:r>
      <w:hyperlink r:id="rId42" w:tooltip="Estatuto Tributario CETA" w:history="1">
        <w:r w:rsidRPr="006F6B75">
          <w:rPr>
            <w:rFonts w:ascii="Times New Roman" w:eastAsia="Times New Roman" w:hAnsi="Times New Roman" w:cs="Times New Roman"/>
            <w:sz w:val="24"/>
            <w:szCs w:val="24"/>
            <w:lang w:eastAsia="es-CO"/>
          </w:rPr>
          <w:t>artículo 512-1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w:t>
      </w:r>
      <w:r w:rsidRPr="006F6B75">
        <w:rPr>
          <w:rFonts w:ascii="Times New Roman" w:eastAsia="Times New Roman" w:hAnsi="Times New Roman" w:cs="Times New Roman"/>
          <w:b/>
          <w:sz w:val="24"/>
          <w:szCs w:val="24"/>
          <w:lang w:eastAsia="es-CO"/>
        </w:rPr>
        <w:t>, incluyendo el servicio de catering</w:t>
      </w:r>
      <w:r w:rsidRPr="006F6B75">
        <w:rPr>
          <w:rFonts w:ascii="Times New Roman" w:eastAsia="Times New Roman" w:hAnsi="Times New Roman" w:cs="Times New Roman"/>
          <w:sz w:val="24"/>
          <w:szCs w:val="24"/>
          <w:lang w:eastAsia="es-CO"/>
        </w:rPr>
        <w:t>, y el servicio de expendio de comidas y bebidas alcohólicas para consumo dentro de bares, tabernas y discotecas,; según lo dispuesto en los artículos </w:t>
      </w:r>
      <w:hyperlink r:id="rId43" w:tooltip="Estatuto Tributario CETA" w:history="1">
        <w:r w:rsidRPr="006F6B75">
          <w:rPr>
            <w:rFonts w:ascii="Times New Roman" w:eastAsia="Times New Roman" w:hAnsi="Times New Roman" w:cs="Times New Roman"/>
            <w:sz w:val="24"/>
            <w:szCs w:val="24"/>
            <w:lang w:eastAsia="es-CO"/>
          </w:rPr>
          <w:t>426</w:t>
        </w:r>
      </w:hyperlink>
      <w:r w:rsidRPr="006F6B75">
        <w:rPr>
          <w:rFonts w:ascii="Times New Roman" w:eastAsia="Times New Roman" w:hAnsi="Times New Roman" w:cs="Times New Roman"/>
          <w:sz w:val="24"/>
          <w:szCs w:val="24"/>
          <w:lang w:eastAsia="es-CO"/>
        </w:rPr>
        <w:t>, </w:t>
      </w:r>
      <w:hyperlink r:id="rId44" w:tooltip="Estatuto Tributario CETA" w:history="1">
        <w:r w:rsidRPr="006F6B75">
          <w:rPr>
            <w:rFonts w:ascii="Times New Roman" w:eastAsia="Times New Roman" w:hAnsi="Times New Roman" w:cs="Times New Roman"/>
            <w:sz w:val="24"/>
            <w:szCs w:val="24"/>
            <w:lang w:eastAsia="es-CO"/>
          </w:rPr>
          <w:t>512-8</w:t>
        </w:r>
      </w:hyperlink>
      <w:r w:rsidRPr="006F6B75">
        <w:rPr>
          <w:rFonts w:ascii="Times New Roman" w:eastAsia="Times New Roman" w:hAnsi="Times New Roman" w:cs="Times New Roman"/>
          <w:sz w:val="24"/>
          <w:szCs w:val="24"/>
          <w:lang w:eastAsia="es-CO"/>
        </w:rPr>
        <w:t>, </w:t>
      </w:r>
      <w:hyperlink r:id="rId45" w:tooltip="Estatuto Tributario CETA" w:history="1">
        <w:r w:rsidRPr="006F6B75">
          <w:rPr>
            <w:rFonts w:ascii="Times New Roman" w:eastAsia="Times New Roman" w:hAnsi="Times New Roman" w:cs="Times New Roman"/>
            <w:sz w:val="24"/>
            <w:szCs w:val="24"/>
            <w:lang w:eastAsia="es-CO"/>
          </w:rPr>
          <w:t>512-9</w:t>
        </w:r>
      </w:hyperlink>
      <w:r w:rsidRPr="006F6B75">
        <w:rPr>
          <w:rFonts w:ascii="Times New Roman" w:eastAsia="Times New Roman" w:hAnsi="Times New Roman" w:cs="Times New Roman"/>
          <w:sz w:val="24"/>
          <w:szCs w:val="24"/>
          <w:lang w:eastAsia="es-CO"/>
        </w:rPr>
        <w:t>, </w:t>
      </w:r>
      <w:hyperlink r:id="rId46" w:tooltip="Estatuto Tributario CETA" w:history="1">
        <w:r w:rsidRPr="006F6B75">
          <w:rPr>
            <w:rFonts w:ascii="Times New Roman" w:eastAsia="Times New Roman" w:hAnsi="Times New Roman" w:cs="Times New Roman"/>
            <w:sz w:val="24"/>
            <w:szCs w:val="24"/>
            <w:lang w:eastAsia="es-CO"/>
          </w:rPr>
          <w:t>512-10</w:t>
        </w:r>
      </w:hyperlink>
      <w:r w:rsidRPr="006F6B75">
        <w:rPr>
          <w:rFonts w:ascii="Times New Roman" w:eastAsia="Times New Roman" w:hAnsi="Times New Roman" w:cs="Times New Roman"/>
          <w:sz w:val="24"/>
          <w:szCs w:val="24"/>
          <w:lang w:eastAsia="es-CO"/>
        </w:rPr>
        <w:t>, </w:t>
      </w:r>
      <w:hyperlink r:id="rId47" w:tooltip="Estatuto Tributario CETA" w:history="1">
        <w:r w:rsidRPr="006F6B75">
          <w:rPr>
            <w:rFonts w:ascii="Times New Roman" w:eastAsia="Times New Roman" w:hAnsi="Times New Roman" w:cs="Times New Roman"/>
            <w:sz w:val="24"/>
            <w:szCs w:val="24"/>
            <w:lang w:eastAsia="es-CO"/>
          </w:rPr>
          <w:t>512-11</w:t>
        </w:r>
      </w:hyperlink>
      <w:r w:rsidRPr="006F6B75">
        <w:rPr>
          <w:rFonts w:ascii="Times New Roman" w:eastAsia="Times New Roman" w:hAnsi="Times New Roman" w:cs="Times New Roman"/>
          <w:sz w:val="24"/>
          <w:szCs w:val="24"/>
          <w:lang w:eastAsia="es-CO"/>
        </w:rPr>
        <w:t>, </w:t>
      </w:r>
      <w:hyperlink r:id="rId48" w:tooltip="Estatuto Tributario CETA" w:history="1">
        <w:r w:rsidRPr="006F6B75">
          <w:rPr>
            <w:rFonts w:ascii="Times New Roman" w:eastAsia="Times New Roman" w:hAnsi="Times New Roman" w:cs="Times New Roman"/>
            <w:sz w:val="24"/>
            <w:szCs w:val="24"/>
            <w:lang w:eastAsia="es-CO"/>
          </w:rPr>
          <w:t>512-12</w:t>
        </w:r>
      </w:hyperlink>
      <w:r w:rsidRPr="006F6B75">
        <w:rPr>
          <w:rFonts w:ascii="Times New Roman" w:eastAsia="Times New Roman" w:hAnsi="Times New Roman" w:cs="Times New Roman"/>
          <w:sz w:val="24"/>
          <w:szCs w:val="24"/>
          <w:lang w:eastAsia="es-CO"/>
        </w:rPr>
        <w:t> y </w:t>
      </w:r>
      <w:hyperlink r:id="rId49" w:tooltip="Estatuto Tributario CETA" w:history="1">
        <w:r w:rsidRPr="006F6B75">
          <w:rPr>
            <w:rFonts w:ascii="Times New Roman" w:eastAsia="Times New Roman" w:hAnsi="Times New Roman" w:cs="Times New Roman"/>
            <w:sz w:val="24"/>
            <w:szCs w:val="24"/>
            <w:lang w:eastAsia="es-CO"/>
          </w:rPr>
          <w:t>512-13</w:t>
        </w:r>
      </w:hyperlink>
      <w:r w:rsidRPr="006F6B75">
        <w:rPr>
          <w:rFonts w:ascii="Times New Roman" w:eastAsia="Times New Roman" w:hAnsi="Times New Roman" w:cs="Times New Roman"/>
          <w:sz w:val="24"/>
          <w:szCs w:val="24"/>
          <w:lang w:eastAsia="es-CO"/>
        </w:rPr>
        <w:t> de este Estatuto. Este impuesto no es aplicable a las actividades de expendio de bebidas y comidas bajo franquicias.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20.</w:t>
      </w:r>
      <w:r w:rsidRPr="006F6B75">
        <w:rPr>
          <w:rFonts w:ascii="Times New Roman" w:eastAsia="Times New Roman" w:hAnsi="Times New Roman" w:cs="Times New Roman"/>
          <w:sz w:val="24"/>
          <w:szCs w:val="24"/>
          <w:lang w:eastAsia="es-CO"/>
        </w:rPr>
        <w:t> Modifíquese el </w:t>
      </w:r>
      <w:hyperlink r:id="rId50" w:tooltip="Estatuto Tributario CETA" w:history="1">
        <w:r w:rsidRPr="006F6B75">
          <w:rPr>
            <w:rFonts w:ascii="Times New Roman" w:eastAsia="Times New Roman" w:hAnsi="Times New Roman" w:cs="Times New Roman"/>
            <w:sz w:val="24"/>
            <w:szCs w:val="24"/>
            <w:lang w:eastAsia="es-CO"/>
          </w:rPr>
          <w:t>artículo 512-13</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51" w:tooltip="Estatuto Tributario CETA" w:history="1">
        <w:r w:rsidR="00296598" w:rsidRPr="006F6B75">
          <w:rPr>
            <w:rFonts w:ascii="Times New Roman" w:eastAsia="Times New Roman" w:hAnsi="Times New Roman" w:cs="Times New Roman"/>
            <w:b/>
            <w:bCs/>
            <w:sz w:val="24"/>
            <w:szCs w:val="24"/>
            <w:lang w:eastAsia="es-CO"/>
          </w:rPr>
          <w:t>Artículo 512-13</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No responsables del impuesto nacional al consumo de restaurantes y bares. </w:t>
      </w:r>
      <w:r w:rsidR="00296598" w:rsidRPr="006F6B75">
        <w:rPr>
          <w:rFonts w:ascii="Times New Roman" w:eastAsia="Times New Roman" w:hAnsi="Times New Roman" w:cs="Times New Roman"/>
          <w:sz w:val="24"/>
          <w:szCs w:val="24"/>
          <w:lang w:eastAsia="es-CO"/>
        </w:rPr>
        <w:t>No serán responsables del Impuesto Nacional al Consumo de restaurantes y bares a que hace referencia el numeral 3 del </w:t>
      </w:r>
      <w:hyperlink r:id="rId52" w:tooltip="Estatuto Tributario CETA" w:history="1">
        <w:r w:rsidR="00296598" w:rsidRPr="006F6B75">
          <w:rPr>
            <w:rFonts w:ascii="Times New Roman" w:eastAsia="Times New Roman" w:hAnsi="Times New Roman" w:cs="Times New Roman"/>
            <w:sz w:val="24"/>
            <w:szCs w:val="24"/>
            <w:lang w:eastAsia="es-CO"/>
          </w:rPr>
          <w:t>artículo 512-1</w:t>
        </w:r>
      </w:hyperlink>
      <w:r w:rsidR="00296598" w:rsidRPr="006F6B75">
        <w:rPr>
          <w:rFonts w:ascii="Times New Roman" w:eastAsia="Times New Roman" w:hAnsi="Times New Roman" w:cs="Times New Roman"/>
          <w:sz w:val="24"/>
          <w:szCs w:val="24"/>
          <w:lang w:eastAsia="es-CO"/>
        </w:rPr>
        <w:t> de este Estatuto, las personas naturales que cumplan la totalidad de las siguientes condiciones: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E62915">
      <w:pPr>
        <w:pStyle w:val="Prrafodelista"/>
        <w:numPr>
          <w:ilvl w:val="0"/>
          <w:numId w:val="2"/>
        </w:num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Que en el año anterior hubieren obtenido ingresos brutos totales, provenientes de la actividad, inferiores a 3.500 UVT;</w:t>
      </w:r>
    </w:p>
    <w:p w:rsidR="00E62915" w:rsidRPr="006F6B75" w:rsidRDefault="00E62915" w:rsidP="00E62915">
      <w:pPr>
        <w:pStyle w:val="Prrafodelista"/>
        <w:spacing w:after="0" w:line="240" w:lineRule="auto"/>
        <w:ind w:left="54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b) </w:t>
      </w:r>
      <w:r w:rsidR="00B61E99" w:rsidRPr="006F6B75">
        <w:rPr>
          <w:rFonts w:ascii="Times New Roman" w:eastAsia="Times New Roman" w:hAnsi="Times New Roman" w:cs="Times New Roman"/>
          <w:sz w:val="24"/>
          <w:szCs w:val="24"/>
          <w:lang w:eastAsia="es-CO"/>
        </w:rPr>
        <w:t xml:space="preserve"> </w:t>
      </w:r>
      <w:r w:rsidRPr="006F6B75">
        <w:rPr>
          <w:rFonts w:ascii="Times New Roman" w:eastAsia="Times New Roman" w:hAnsi="Times New Roman" w:cs="Times New Roman"/>
          <w:sz w:val="24"/>
          <w:szCs w:val="24"/>
          <w:lang w:eastAsia="es-CO"/>
        </w:rPr>
        <w:t>Que tengan máximo un establecimiento de comercio, sede, local o negocio donde ejercen su actividad.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Para la celebración de operaciones gravadas provenientes de la actividad por cuantía individual e igual o superior a 3.500 UVT, estas personas deberán inscribirse previamente como responsables del impuesto.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responsables del impuesto, una vez registrados, solo podrán solicitar su retiro del régimen cuando demuestren que en los tres (3) años fiscales anteriores se cumplieron, por cada año, las condiciones establecidas en la presente disposición para tener la condición de no responsables.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Cuando los no responsables realicen operaciones con los responsables del impuesto deberán registrar en el Registro Único Tributario (RUT) su condición de tales y entregar copia del mismo al adquirente de los servicios, en los términos señalados en el reglamento.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Las medidas tendientes al control de la evasión y control tributario previstas en el parágrafo 3° del </w:t>
      </w:r>
      <w:hyperlink r:id="rId53" w:tooltip="Estatuto Tributario CETA" w:history="1">
        <w:r w:rsidRPr="006F6B75">
          <w:rPr>
            <w:rFonts w:ascii="Times New Roman" w:eastAsia="Times New Roman" w:hAnsi="Times New Roman" w:cs="Times New Roman"/>
            <w:sz w:val="24"/>
            <w:szCs w:val="24"/>
            <w:lang w:eastAsia="es-CO"/>
          </w:rPr>
          <w:t>artículo 437-2</w:t>
        </w:r>
      </w:hyperlink>
      <w:r w:rsidRPr="006F6B75">
        <w:rPr>
          <w:rFonts w:ascii="Times New Roman" w:eastAsia="Times New Roman" w:hAnsi="Times New Roman" w:cs="Times New Roman"/>
          <w:sz w:val="24"/>
          <w:szCs w:val="24"/>
          <w:lang w:eastAsia="es-CO"/>
        </w:rPr>
        <w:t> y el </w:t>
      </w:r>
      <w:hyperlink r:id="rId54" w:tooltip="Estatuto Tributario CETA" w:history="1">
        <w:r w:rsidRPr="006F6B75">
          <w:rPr>
            <w:rFonts w:ascii="Times New Roman" w:eastAsia="Times New Roman" w:hAnsi="Times New Roman" w:cs="Times New Roman"/>
            <w:sz w:val="24"/>
            <w:szCs w:val="24"/>
            <w:lang w:eastAsia="es-CO"/>
          </w:rPr>
          <w:t>artículo 508-1</w:t>
        </w:r>
      </w:hyperlink>
      <w:r w:rsidRPr="006F6B75">
        <w:rPr>
          <w:rFonts w:ascii="Times New Roman" w:eastAsia="Times New Roman" w:hAnsi="Times New Roman" w:cs="Times New Roman"/>
          <w:sz w:val="24"/>
          <w:szCs w:val="24"/>
          <w:lang w:eastAsia="es-CO"/>
        </w:rPr>
        <w:t> de este Estatuto serán aplicables al impuesto al consumo.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21.</w:t>
      </w:r>
      <w:r w:rsidRPr="006F6B75">
        <w:rPr>
          <w:rFonts w:ascii="Times New Roman" w:eastAsia="Times New Roman" w:hAnsi="Times New Roman" w:cs="Times New Roman"/>
          <w:sz w:val="24"/>
          <w:szCs w:val="24"/>
          <w:lang w:eastAsia="es-CO"/>
        </w:rPr>
        <w:t> Adiciónese el artículo 512-22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512-22. </w:t>
      </w:r>
      <w:r w:rsidRPr="006F6B75">
        <w:rPr>
          <w:rFonts w:ascii="Times New Roman" w:eastAsia="Times New Roman" w:hAnsi="Times New Roman" w:cs="Times New Roman"/>
          <w:b/>
          <w:bCs/>
          <w:i/>
          <w:iCs/>
          <w:sz w:val="24"/>
          <w:szCs w:val="24"/>
          <w:lang w:eastAsia="es-CO"/>
        </w:rPr>
        <w:t>Impuesto nacional al consumo de bienes inmuebles. </w:t>
      </w:r>
      <w:r w:rsidRPr="006F6B75">
        <w:rPr>
          <w:rFonts w:ascii="Times New Roman" w:eastAsia="Times New Roman" w:hAnsi="Times New Roman" w:cs="Times New Roman"/>
          <w:sz w:val="24"/>
          <w:szCs w:val="24"/>
          <w:lang w:eastAsia="es-CO"/>
        </w:rPr>
        <w:t>El impuesto nacional al consumo tiene como hecho generador la enajenación, a cualquier título, de bienes inmuebles diferentes a predios rurales destinados a actividades agropecuarias, nuevos o usados, cuyo valor supere las 26.800 UVT, incluidas las realizadas mediante las cesiones de derechos fiduciarios o fondos que no coticen en bolsa.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responsable del impuesto es el vendedor o cedente de los bienes inmuebles sujetos al impuesto nacional al consumo. El impuesto será recaudado en su totalidad mediante el mecanismo de retención en la fuente. La retención aquí prevista deberá cancelarse previamente a la enajenación del bien inmueble, y presentar comprobante de pago ante el notario o administrador de la fiducia, fondo de capital privado o fondo de inversión colectiva.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tarifa aplicable será del dos por ciento (2%) sobre la totalidad del precio de venta.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Este impuesto, cuya causación es instantánea, no podrá tratarse como impuesto descontable, ni como gasto deducible, pero hará parte del costo del inmueble para el comprador.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 xml:space="preserve">Para efectos de este artículo, se entienden por actividades agropecuarias aquellas señaladas en la Clasificación Industrial Internacional Uniforme (CIIU), Sección A, </w:t>
      </w:r>
      <w:r w:rsidRPr="006F6B75">
        <w:rPr>
          <w:rFonts w:ascii="Times New Roman" w:eastAsia="Times New Roman" w:hAnsi="Times New Roman" w:cs="Times New Roman"/>
          <w:sz w:val="24"/>
          <w:szCs w:val="24"/>
          <w:lang w:eastAsia="es-CO"/>
        </w:rPr>
        <w:lastRenderedPageBreak/>
        <w:t>división 01, adoptada en Colombia mediante Resolución de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impuesto consagrado en el presente artículo no será aplicable a las enajenaciones, a cualquier título, de predios destinados a la ejecución de proyectos de vivienda de interés social y/o prioritario.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Quedan exentos de la tarifa aplicable señalada en presente artículo todos aquellos bienes que se adquieran a cualquier título destinados para equipamientos colectivos de interés público social. Siempre y cuando el comprador sea una entidad estatal o una entidad sin ánimo de lucro que cumpla los requisitos para tener derecho al régimen tributario especial y que el bien se dedique y utilice exclusivamente a los proyectos sociales y actividades meritorias.</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TÍTULO II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NORMAS DE FINANCIAMIENTO EN IMPUESTO SOBRE LA RENTA DE PERSONAS NATURALES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22.</w:t>
      </w:r>
      <w:r w:rsidRPr="006F6B75">
        <w:rPr>
          <w:rFonts w:ascii="Times New Roman" w:eastAsia="Times New Roman" w:hAnsi="Times New Roman" w:cs="Times New Roman"/>
          <w:sz w:val="24"/>
          <w:szCs w:val="24"/>
          <w:lang w:eastAsia="es-CO"/>
        </w:rPr>
        <w:t> Adiciónese el numeral 3 al </w:t>
      </w:r>
      <w:hyperlink r:id="rId55" w:tooltip="Estatuto Tributario CETA" w:history="1">
        <w:r w:rsidRPr="006F6B75">
          <w:rPr>
            <w:rFonts w:ascii="Times New Roman" w:eastAsia="Times New Roman" w:hAnsi="Times New Roman" w:cs="Times New Roman"/>
            <w:sz w:val="24"/>
            <w:szCs w:val="24"/>
            <w:lang w:eastAsia="es-CO"/>
          </w:rPr>
          <w:t>artículo 27</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 del </w:t>
      </w:r>
      <w:hyperlink r:id="rId56" w:tooltip="Estatuto Tributario CETA" w:history="1">
        <w:r w:rsidRPr="006F6B75">
          <w:rPr>
            <w:rFonts w:ascii="Times New Roman" w:eastAsia="Times New Roman" w:hAnsi="Times New Roman" w:cs="Times New Roman"/>
            <w:sz w:val="24"/>
            <w:szCs w:val="24"/>
            <w:lang w:eastAsia="es-CO"/>
          </w:rPr>
          <w:t>artículo 206</w:t>
        </w:r>
      </w:hyperlink>
      <w:r w:rsidRPr="006F6B75">
        <w:rPr>
          <w:rFonts w:ascii="Times New Roman" w:eastAsia="Times New Roman" w:hAnsi="Times New Roman" w:cs="Times New Roman"/>
          <w:sz w:val="24"/>
          <w:szCs w:val="24"/>
          <w:lang w:eastAsia="es-CO"/>
        </w:rPr>
        <w:t> del Estatuto Tributario, así como al reconocimiento patrimonial, cuando haya lugar a ello.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del auxilio de cesantía del régimen tradicional del Código Sustantivo del Trabajo, contenido en el Capítulo VII, Título VII, parte primera, y demás disposiciones que lo modifiquen o 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23.</w:t>
      </w:r>
      <w:r w:rsidRPr="006F6B75">
        <w:rPr>
          <w:rFonts w:ascii="Times New Roman" w:eastAsia="Times New Roman" w:hAnsi="Times New Roman" w:cs="Times New Roman"/>
          <w:sz w:val="24"/>
          <w:szCs w:val="24"/>
          <w:lang w:eastAsia="es-CO"/>
        </w:rPr>
        <w:t> Modifíquese el </w:t>
      </w:r>
      <w:hyperlink r:id="rId57" w:tooltip="Estatuto Tributario CETA" w:history="1">
        <w:r w:rsidRPr="006F6B75">
          <w:rPr>
            <w:rFonts w:ascii="Times New Roman" w:eastAsia="Times New Roman" w:hAnsi="Times New Roman" w:cs="Times New Roman"/>
            <w:sz w:val="24"/>
            <w:szCs w:val="24"/>
            <w:lang w:eastAsia="es-CO"/>
          </w:rPr>
          <w:t>artículo 55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DC7ACE"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58" w:tooltip="Estatuto Tributario CETA" w:history="1">
        <w:r w:rsidR="00296598" w:rsidRPr="006F6B75">
          <w:rPr>
            <w:rFonts w:ascii="Times New Roman" w:eastAsia="Times New Roman" w:hAnsi="Times New Roman" w:cs="Times New Roman"/>
            <w:b/>
            <w:bCs/>
            <w:sz w:val="24"/>
            <w:szCs w:val="24"/>
            <w:lang w:eastAsia="es-CO"/>
          </w:rPr>
          <w:t>Artículo 55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Aportes obligatorios al Sistema General de Pensiones. </w:t>
      </w:r>
      <w:r w:rsidR="00296598" w:rsidRPr="006F6B75">
        <w:rPr>
          <w:rFonts w:ascii="Times New Roman" w:eastAsia="Times New Roman" w:hAnsi="Times New Roman" w:cs="Times New Roman"/>
          <w:sz w:val="24"/>
          <w:szCs w:val="24"/>
          <w:lang w:eastAsia="es-CO"/>
        </w:rPr>
        <w:t xml:space="preserve">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aportes a cargo del empleador serán deducibles de su renta. Las cotizaciones voluntarias al régimen de ahorro individual con solidaridad son un ingreso no constitutivo de renta ni de ganancia ocasional para el aportante, en un porcentaje que no exceda el veinticinco por ciento (25%) del ingreso laboral o tributario anual, limitado a 2.500 UVT. Los retiros, parciales o totales, de las cotizaciones voluntarias, que hayan efectuado los afiliados al </w:t>
      </w:r>
      <w:r w:rsidR="00296598" w:rsidRPr="006F6B75">
        <w:rPr>
          <w:rFonts w:ascii="Times New Roman" w:eastAsia="Times New Roman" w:hAnsi="Times New Roman" w:cs="Times New Roman"/>
          <w:sz w:val="24"/>
          <w:szCs w:val="24"/>
          <w:lang w:eastAsia="es-CO"/>
        </w:rPr>
        <w:lastRenderedPageBreak/>
        <w:t xml:space="preserve">régimen de ahorro individual con solidaridad para fines distintos a la obtención de una mayor pensión o un retiro anticipado,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constituyen renta líquida gravable para el aportante y la respectiva sociedad administradora efectuará la retención en la fuente a la tarifa del 35% al momento del retiro.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Los retiros, parciales o totales, de las cotizaciones voluntarias, que hayan efectuado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35% al momento del retiro.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24.</w:t>
      </w:r>
      <w:r w:rsidRPr="006F6B75">
        <w:rPr>
          <w:rFonts w:ascii="Times New Roman" w:eastAsia="Times New Roman" w:hAnsi="Times New Roman" w:cs="Times New Roman"/>
          <w:sz w:val="24"/>
          <w:szCs w:val="24"/>
          <w:lang w:eastAsia="es-CO"/>
        </w:rPr>
        <w:t> Modifíquense los numerales 6 y 8, y adiciónense el numeral 9 y los parágrafos 4° y 5° al </w:t>
      </w:r>
      <w:hyperlink r:id="rId59" w:tooltip="Estatuto Tributario CETA" w:history="1">
        <w:r w:rsidRPr="006F6B75">
          <w:rPr>
            <w:rFonts w:ascii="Times New Roman" w:eastAsia="Times New Roman" w:hAnsi="Times New Roman" w:cs="Times New Roman"/>
            <w:sz w:val="24"/>
            <w:szCs w:val="24"/>
            <w:lang w:eastAsia="es-CO"/>
          </w:rPr>
          <w:t>artículo 206</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 El seguro por muerte, las compensaciones por muerte y las prestaciones sociales en actividad y en retiro de los miembros de las Fuerzas Militares y de la Policía Nacional.</w:t>
      </w:r>
    </w:p>
    <w:p w:rsidR="00DC7ACE" w:rsidRPr="006F6B75" w:rsidRDefault="00DC7ACE"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8. El exceso del salario básico percibido por los Oficiales, Suboficiales y Soldados Profesionales de las Fuerzas Militares y Oficiales, Suboficiales, Nivel Ejecutivo, Patrulleros y Agentes de la Policía Nacional.</w:t>
      </w:r>
    </w:p>
    <w:p w:rsidR="00DC7ACE" w:rsidRPr="006F6B75" w:rsidRDefault="00DC7ACE"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 Los gastos de representación de los rectores y profesores de universidades públicas, los cuales no podrán exceder del cincuenta (50%) de su salario.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Las rentas exentas establecidas en los numerales 6, 8 y 9 de este artículo, no estarán sujetas a las limitantes previstas en el numeral 3 del </w:t>
      </w:r>
      <w:hyperlink r:id="rId60" w:tooltip="Estatuto Tributario CETA" w:history="1">
        <w:r w:rsidRPr="006F6B75">
          <w:rPr>
            <w:rFonts w:ascii="Times New Roman" w:eastAsia="Times New Roman" w:hAnsi="Times New Roman" w:cs="Times New Roman"/>
            <w:sz w:val="24"/>
            <w:szCs w:val="24"/>
            <w:lang w:eastAsia="es-CO"/>
          </w:rPr>
          <w:t>artículo 336</w:t>
        </w:r>
      </w:hyperlink>
      <w:r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25. </w:t>
      </w:r>
      <w:r w:rsidRPr="006F6B75">
        <w:rPr>
          <w:rFonts w:ascii="Times New Roman" w:eastAsia="Times New Roman" w:hAnsi="Times New Roman" w:cs="Times New Roman"/>
          <w:sz w:val="24"/>
          <w:szCs w:val="24"/>
          <w:lang w:eastAsia="es-CO"/>
        </w:rPr>
        <w:t>Modifíquese el </w:t>
      </w:r>
      <w:hyperlink r:id="rId61" w:tooltip="Estatuto Tributario CETA" w:history="1">
        <w:r w:rsidRPr="006F6B75">
          <w:rPr>
            <w:rFonts w:ascii="Times New Roman" w:eastAsia="Times New Roman" w:hAnsi="Times New Roman" w:cs="Times New Roman"/>
            <w:sz w:val="24"/>
            <w:szCs w:val="24"/>
            <w:lang w:eastAsia="es-CO"/>
          </w:rPr>
          <w:t>artículo 206-1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62" w:tooltip="Estatuto Tributario CETA" w:history="1">
        <w:r w:rsidR="00296598" w:rsidRPr="006F6B75">
          <w:rPr>
            <w:rFonts w:ascii="Times New Roman" w:eastAsia="Times New Roman" w:hAnsi="Times New Roman" w:cs="Times New Roman"/>
            <w:b/>
            <w:bCs/>
            <w:sz w:val="24"/>
            <w:szCs w:val="24"/>
            <w:lang w:eastAsia="es-CO"/>
          </w:rPr>
          <w:t>Artículo 206-1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Determinación de la renta para servidores públicos diplomáticos, consulares y administrativos del Ministerio de Relaciones Exteriores. </w:t>
      </w:r>
      <w:r w:rsidR="00296598" w:rsidRPr="006F6B75">
        <w:rPr>
          <w:rFonts w:ascii="Times New Roman" w:eastAsia="Times New Roman" w:hAnsi="Times New Roman" w:cs="Times New Roman"/>
          <w:sz w:val="24"/>
          <w:szCs w:val="24"/>
          <w:lang w:eastAsia="es-CO"/>
        </w:rPr>
        <w:t>Para efectos de la determinación del impuesto sobre la renta y complementarios de los servidores públicos diplomáticos, consulares y administrativos del Ministerio de Relaciones Exteriores, la prima especial y la prima de costo de vida de que trata el Decreto 3357 de 2009, o las normas que lo modifiquen o sustituyan, estarán exentas del impuesto sobre la renta.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primas de que trata este artículo, no se tendrán en cuenta para efectos del cálculo de los límites establecidos en el numeral 3° del </w:t>
      </w:r>
      <w:hyperlink r:id="rId63" w:tooltip="Estatuto Tributario CETA" w:history="1">
        <w:r w:rsidRPr="006F6B75">
          <w:rPr>
            <w:rFonts w:ascii="Times New Roman" w:eastAsia="Times New Roman" w:hAnsi="Times New Roman" w:cs="Times New Roman"/>
            <w:sz w:val="24"/>
            <w:szCs w:val="24"/>
            <w:lang w:eastAsia="es-CO"/>
          </w:rPr>
          <w:t>artículo 336</w:t>
        </w:r>
      </w:hyperlink>
      <w:r w:rsidRPr="006F6B75">
        <w:rPr>
          <w:rFonts w:ascii="Times New Roman" w:eastAsia="Times New Roman" w:hAnsi="Times New Roman" w:cs="Times New Roman"/>
          <w:sz w:val="24"/>
          <w:szCs w:val="24"/>
          <w:lang w:eastAsia="es-CO"/>
        </w:rPr>
        <w:t>del presente estatuto.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26.</w:t>
      </w:r>
      <w:r w:rsidRPr="006F6B75">
        <w:rPr>
          <w:rFonts w:ascii="Times New Roman" w:eastAsia="Times New Roman" w:hAnsi="Times New Roman" w:cs="Times New Roman"/>
          <w:sz w:val="24"/>
          <w:szCs w:val="24"/>
          <w:lang w:eastAsia="es-CO"/>
        </w:rPr>
        <w:t> Modifíquese el </w:t>
      </w:r>
      <w:hyperlink r:id="rId64" w:tooltip="Estatuto Tributario CETA" w:history="1">
        <w:r w:rsidRPr="006F6B75">
          <w:rPr>
            <w:rFonts w:ascii="Times New Roman" w:eastAsia="Times New Roman" w:hAnsi="Times New Roman" w:cs="Times New Roman"/>
            <w:sz w:val="24"/>
            <w:szCs w:val="24"/>
            <w:lang w:eastAsia="es-CO"/>
          </w:rPr>
          <w:t>artículo 241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65" w:tooltip="Estatuto Tributario CETA" w:history="1">
        <w:r w:rsidR="00296598" w:rsidRPr="006F6B75">
          <w:rPr>
            <w:rFonts w:ascii="Times New Roman" w:eastAsia="Times New Roman" w:hAnsi="Times New Roman" w:cs="Times New Roman"/>
            <w:b/>
            <w:bCs/>
            <w:sz w:val="24"/>
            <w:szCs w:val="24"/>
            <w:lang w:eastAsia="es-CO"/>
          </w:rPr>
          <w:t>Artículo 241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Tarifa para las personas naturales residentes y asignaciones y donaciones modales. </w:t>
      </w:r>
      <w:r w:rsidR="00296598" w:rsidRPr="006F6B75">
        <w:rPr>
          <w:rFonts w:ascii="Times New Roman" w:eastAsia="Times New Roman" w:hAnsi="Times New Roman" w:cs="Times New Roman"/>
          <w:sz w:val="24"/>
          <w:szCs w:val="24"/>
          <w:lang w:eastAsia="es-CO"/>
        </w:rPr>
        <w:t>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0DF32C9B" wp14:editId="4502DD7F">
            <wp:extent cx="3208020" cy="2887980"/>
            <wp:effectExtent l="0" t="0" r="0" b="7620"/>
            <wp:docPr id="1" name="Imagen 1" descr="http://www.ceta.org.co/html/imagenes/35690-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ta.org.co/html/imagenes/35690-img1.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08020" cy="2887980"/>
                    </a:xfrm>
                    <a:prstGeom prst="rect">
                      <a:avLst/>
                    </a:prstGeom>
                    <a:noFill/>
                    <a:ln>
                      <a:noFill/>
                    </a:ln>
                  </pic:spPr>
                </pic:pic>
              </a:graphicData>
            </a:graphic>
          </wp:inline>
        </w:drawing>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27.</w:t>
      </w:r>
      <w:r w:rsidRPr="006F6B75">
        <w:rPr>
          <w:rFonts w:ascii="Times New Roman" w:eastAsia="Times New Roman" w:hAnsi="Times New Roman" w:cs="Times New Roman"/>
          <w:sz w:val="24"/>
          <w:szCs w:val="24"/>
          <w:lang w:eastAsia="es-CO"/>
        </w:rPr>
        <w:t> Modifíquense el </w:t>
      </w:r>
      <w:hyperlink r:id="rId67" w:tooltip="Estatuto Tributario CETA" w:history="1">
        <w:r w:rsidRPr="006F6B75">
          <w:rPr>
            <w:rFonts w:ascii="Times New Roman" w:eastAsia="Times New Roman" w:hAnsi="Times New Roman" w:cs="Times New Roman"/>
            <w:sz w:val="24"/>
            <w:szCs w:val="24"/>
            <w:lang w:eastAsia="es-CO"/>
          </w:rPr>
          <w:t>artículo 242</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68" w:tooltip="Estatuto Tributario CETA" w:history="1">
        <w:r w:rsidR="00296598" w:rsidRPr="006F6B75">
          <w:rPr>
            <w:rFonts w:ascii="Times New Roman" w:eastAsia="Times New Roman" w:hAnsi="Times New Roman" w:cs="Times New Roman"/>
            <w:b/>
            <w:bCs/>
            <w:sz w:val="24"/>
            <w:szCs w:val="24"/>
            <w:lang w:eastAsia="es-CO"/>
          </w:rPr>
          <w:t>Artículo 242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Participaciones tarifa especial recibidas por para dividendos o personas naturales residentes. </w:t>
      </w:r>
      <w:r w:rsidR="00296598" w:rsidRPr="006F6B75">
        <w:rPr>
          <w:rFonts w:ascii="Times New Roman" w:eastAsia="Times New Roman" w:hAnsi="Times New Roman" w:cs="Times New Roman"/>
          <w:sz w:val="24"/>
          <w:szCs w:val="24"/>
          <w:lang w:eastAsia="es-CO"/>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w:t>
      </w:r>
      <w:hyperlink r:id="rId69" w:tooltip="Estatuto Tributario CETA" w:history="1">
        <w:r w:rsidR="00296598" w:rsidRPr="006F6B75">
          <w:rPr>
            <w:rFonts w:ascii="Times New Roman" w:eastAsia="Times New Roman" w:hAnsi="Times New Roman" w:cs="Times New Roman"/>
            <w:sz w:val="24"/>
            <w:szCs w:val="24"/>
            <w:lang w:eastAsia="es-CO"/>
          </w:rPr>
          <w:t>artículo 49</w:t>
        </w:r>
      </w:hyperlink>
      <w:r w:rsidR="00296598" w:rsidRPr="006F6B75">
        <w:rPr>
          <w:rFonts w:ascii="Times New Roman" w:eastAsia="Times New Roman" w:hAnsi="Times New Roman" w:cs="Times New Roman"/>
          <w:sz w:val="24"/>
          <w:szCs w:val="24"/>
          <w:lang w:eastAsia="es-CO"/>
        </w:rPr>
        <w:t> de este Estatuto, estarán sujetas a la siguiente tarifa del impuesto sobre la renta:</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19F82AE7" wp14:editId="6092AA9F">
            <wp:extent cx="3131820" cy="952500"/>
            <wp:effectExtent l="0" t="0" r="0" b="0"/>
            <wp:docPr id="2" name="Imagen 2" descr="http://www.ceta.org.co/html/imagenes/35690-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eta.org.co/html/imagenes/35690-img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31820" cy="95250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w:t>
      </w:r>
      <w:hyperlink r:id="rId71" w:tooltip="Estatuto Tributario CETA" w:history="1">
        <w:r w:rsidRPr="006F6B75">
          <w:rPr>
            <w:rFonts w:ascii="Times New Roman" w:eastAsia="Times New Roman" w:hAnsi="Times New Roman" w:cs="Times New Roman"/>
            <w:sz w:val="24"/>
            <w:szCs w:val="24"/>
            <w:lang w:eastAsia="es-CO"/>
          </w:rPr>
          <w:t>artículo 49</w:t>
        </w:r>
      </w:hyperlink>
      <w:r w:rsidRPr="006F6B75">
        <w:rPr>
          <w:rFonts w:ascii="Times New Roman" w:eastAsia="Times New Roman" w:hAnsi="Times New Roman" w:cs="Times New Roman"/>
          <w:sz w:val="24"/>
          <w:szCs w:val="24"/>
          <w:lang w:eastAsia="es-CO"/>
        </w:rPr>
        <w:t>, estarán sujetos a la tarifa señalada en el </w:t>
      </w:r>
      <w:hyperlink r:id="rId72" w:tooltip="Estatuto Tributario CETA" w:history="1">
        <w:r w:rsidR="00B03EC9" w:rsidRPr="006F6B75">
          <w:rPr>
            <w:rFonts w:ascii="Times New Roman" w:eastAsia="Times New Roman" w:hAnsi="Times New Roman" w:cs="Times New Roman"/>
            <w:sz w:val="24"/>
            <w:szCs w:val="24"/>
            <w:lang w:eastAsia="es-CO"/>
          </w:rPr>
          <w:t>artícu</w:t>
        </w:r>
        <w:r w:rsidR="00856621" w:rsidRPr="006F6B75">
          <w:rPr>
            <w:rFonts w:ascii="Times New Roman" w:eastAsia="Times New Roman" w:hAnsi="Times New Roman" w:cs="Times New Roman"/>
            <w:sz w:val="24"/>
            <w:szCs w:val="24"/>
            <w:lang w:eastAsia="es-CO"/>
          </w:rPr>
          <w:t>lo</w:t>
        </w:r>
      </w:hyperlink>
      <w:r w:rsidRPr="006F6B75">
        <w:rPr>
          <w:rFonts w:ascii="Times New Roman" w:eastAsia="Times New Roman" w:hAnsi="Times New Roman" w:cs="Times New Roman"/>
          <w:sz w:val="24"/>
          <w:szCs w:val="24"/>
          <w:lang w:eastAsia="es-CO"/>
        </w:rPr>
        <w:t xml:space="preserve">, según el período gravable en que se paguen o abonen en cuenta, caso en el cual el impuesto señalado en el </w:t>
      </w:r>
      <w:r w:rsidRPr="006F6B75">
        <w:rPr>
          <w:rFonts w:ascii="Times New Roman" w:eastAsia="Times New Roman" w:hAnsi="Times New Roman" w:cs="Times New Roman"/>
          <w:sz w:val="24"/>
          <w:szCs w:val="24"/>
          <w:lang w:eastAsia="es-CO"/>
        </w:rPr>
        <w:lastRenderedPageBreak/>
        <w:t>inciso anterior, se aplicará una vez disminuido este impuesto. A esta misma tarifa estarán gravados los dividendos y participaciones recibidos de sociedades y entidades extranjeras.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El impuesto sobre la renta de que trata este artículo será retenido en la fuente sobre el valor bruto de los pagos o abonos en cuenta por concepto de dividendos o participaciones.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retención en la fuente del artículo 242-1 del Estatuto Tributario será descontable para el accionista persona natural residente. En estos casos el impuesto sobre la renta se reduciría en el valor de la retención en la fuente trasladada al accionista persona natural residente.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28.</w:t>
      </w:r>
      <w:r w:rsidRPr="006F6B75">
        <w:rPr>
          <w:rFonts w:ascii="Times New Roman" w:eastAsia="Times New Roman" w:hAnsi="Times New Roman" w:cs="Times New Roman"/>
          <w:sz w:val="24"/>
          <w:szCs w:val="24"/>
          <w:lang w:eastAsia="es-CO"/>
        </w:rPr>
        <w:t> Adiciónese el artículo 303-1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303-1. </w:t>
      </w:r>
      <w:r w:rsidRPr="006F6B75">
        <w:rPr>
          <w:rFonts w:ascii="Times New Roman" w:eastAsia="Times New Roman" w:hAnsi="Times New Roman" w:cs="Times New Roman"/>
          <w:b/>
          <w:bCs/>
          <w:i/>
          <w:iCs/>
          <w:sz w:val="24"/>
          <w:szCs w:val="24"/>
          <w:lang w:eastAsia="es-CO"/>
        </w:rPr>
        <w:t>Ganancia ocasional derivada de indemnizaciones por concepto de seguros de vida. </w:t>
      </w:r>
      <w:r w:rsidRPr="006F6B75">
        <w:rPr>
          <w:rFonts w:ascii="Times New Roman" w:eastAsia="Times New Roman" w:hAnsi="Times New Roman" w:cs="Times New Roman"/>
          <w:sz w:val="24"/>
          <w:szCs w:val="24"/>
          <w:lang w:eastAsia="es-CO"/>
        </w:rPr>
        <w:t>A partir del año gravable 2019, las indemnizaciones por seguros de vida, estarán gravadas con la tarifa aplicable a las ganancias ocasionales, en el monto que supere doce mil quinientas (12.500) UVT.</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29.</w:t>
      </w:r>
      <w:r w:rsidRPr="006F6B75">
        <w:rPr>
          <w:rFonts w:ascii="Times New Roman" w:eastAsia="Times New Roman" w:hAnsi="Times New Roman" w:cs="Times New Roman"/>
          <w:sz w:val="24"/>
          <w:szCs w:val="24"/>
          <w:lang w:eastAsia="es-CO"/>
        </w:rPr>
        <w:t> Modifíquese el </w:t>
      </w:r>
      <w:hyperlink r:id="rId73" w:tooltip="Estatuto Tributario CETA" w:history="1">
        <w:r w:rsidRPr="006F6B75">
          <w:rPr>
            <w:rFonts w:ascii="Times New Roman" w:eastAsia="Times New Roman" w:hAnsi="Times New Roman" w:cs="Times New Roman"/>
            <w:sz w:val="24"/>
            <w:szCs w:val="24"/>
            <w:lang w:eastAsia="es-CO"/>
          </w:rPr>
          <w:t>artículo 330</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74" w:tooltip="Estatuto Tributario CETA" w:history="1">
        <w:r w:rsidR="00296598" w:rsidRPr="006F6B75">
          <w:rPr>
            <w:rFonts w:ascii="Times New Roman" w:eastAsia="Times New Roman" w:hAnsi="Times New Roman" w:cs="Times New Roman"/>
            <w:b/>
            <w:bCs/>
            <w:sz w:val="24"/>
            <w:szCs w:val="24"/>
            <w:lang w:eastAsia="es-CO"/>
          </w:rPr>
          <w:t>Artículo 330</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Determinación cedular. </w:t>
      </w:r>
      <w:r w:rsidR="00296598" w:rsidRPr="006F6B75">
        <w:rPr>
          <w:rFonts w:ascii="Times New Roman" w:eastAsia="Times New Roman" w:hAnsi="Times New Roman" w:cs="Times New Roman"/>
          <w:sz w:val="24"/>
          <w:szCs w:val="24"/>
          <w:lang w:eastAsia="es-CO"/>
        </w:rPr>
        <w:t>La depuración de las rentas correspondientes a cada una de las cédulas a que se refiere este artículo se efectuará de manera independiente, siguiendo las reglas establecidas en el </w:t>
      </w:r>
      <w:hyperlink r:id="rId75" w:tooltip="Estatuto Tributario CETA" w:history="1">
        <w:r w:rsidR="00296598" w:rsidRPr="006F6B75">
          <w:rPr>
            <w:rFonts w:ascii="Times New Roman" w:eastAsia="Times New Roman" w:hAnsi="Times New Roman" w:cs="Times New Roman"/>
            <w:sz w:val="24"/>
            <w:szCs w:val="24"/>
            <w:lang w:eastAsia="es-CO"/>
          </w:rPr>
          <w:t>artículo 26</w:t>
        </w:r>
      </w:hyperlink>
      <w:r w:rsidR="00296598" w:rsidRPr="006F6B75">
        <w:rPr>
          <w:rFonts w:ascii="Times New Roman" w:eastAsia="Times New Roman" w:hAnsi="Times New Roman" w:cs="Times New Roman"/>
          <w:sz w:val="24"/>
          <w:szCs w:val="24"/>
          <w:lang w:eastAsia="es-CO"/>
        </w:rPr>
        <w:t> de este Estatuto aplicables a cada caso. El resultado constituirá la renta líquida cedular.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depuración se efectuará de modo independiente en las siguientes tres (3) cédulas: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Rentas de trabajo, de capital y no laborales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Rentas de pensiones, y</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Dividendos y participaciones.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cédula de dividendos y participaciones no admite costos ni deducciones.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pérdidas incurridas dentro de una cédula solo podrán ser compensadas contra las rentas de la misma cédula, en los siguientes períodos gravables, teniendo en cuenta los límites y porcentajes de compensación establecidas en las normas vigentes.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w:t>
      </w:r>
      <w:r w:rsidRPr="006F6B75">
        <w:rPr>
          <w:rFonts w:ascii="Times New Roman" w:eastAsia="Times New Roman" w:hAnsi="Times New Roman" w:cs="Times New Roman"/>
          <w:sz w:val="24"/>
          <w:szCs w:val="24"/>
          <w:lang w:eastAsia="es-CO"/>
        </w:rPr>
        <w:t>Las pérdidas declaradas en períodos gravables anteriores a la vigencia de la presente ley únicamente podrán ser imputadas en contra de la cédula general, teniendo en cuenta los límites y porcentajes de compensación establecidos en las normas vigentes.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30.</w:t>
      </w:r>
      <w:r w:rsidRPr="006F6B75">
        <w:rPr>
          <w:rFonts w:ascii="Times New Roman" w:eastAsia="Times New Roman" w:hAnsi="Times New Roman" w:cs="Times New Roman"/>
          <w:sz w:val="24"/>
          <w:szCs w:val="24"/>
          <w:lang w:eastAsia="es-CO"/>
        </w:rPr>
        <w:t> Modifíquese el </w:t>
      </w:r>
      <w:hyperlink r:id="rId76" w:tooltip="Estatuto Tributario CETA" w:history="1">
        <w:r w:rsidRPr="006F6B75">
          <w:rPr>
            <w:rFonts w:ascii="Times New Roman" w:eastAsia="Times New Roman" w:hAnsi="Times New Roman" w:cs="Times New Roman"/>
            <w:sz w:val="24"/>
            <w:szCs w:val="24"/>
            <w:lang w:eastAsia="es-CO"/>
          </w:rPr>
          <w:t>artículo 331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77" w:tooltip="Estatuto Tributario CETA" w:history="1">
        <w:r w:rsidR="00296598" w:rsidRPr="006F6B75">
          <w:rPr>
            <w:rFonts w:ascii="Times New Roman" w:eastAsia="Times New Roman" w:hAnsi="Times New Roman" w:cs="Times New Roman"/>
            <w:b/>
            <w:bCs/>
            <w:sz w:val="24"/>
            <w:szCs w:val="24"/>
            <w:lang w:eastAsia="es-CO"/>
          </w:rPr>
          <w:t>Artículo 331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Rentas líquidas gravables. </w:t>
      </w:r>
      <w:r w:rsidR="00296598" w:rsidRPr="006F6B75">
        <w:rPr>
          <w:rFonts w:ascii="Times New Roman" w:eastAsia="Times New Roman" w:hAnsi="Times New Roman" w:cs="Times New Roman"/>
          <w:sz w:val="24"/>
          <w:szCs w:val="24"/>
          <w:lang w:eastAsia="es-CO"/>
        </w:rPr>
        <w:t>Para efectos de determinar las rentas líquidas gravables a las que le serán aplicables las tarifas establecidas en el </w:t>
      </w:r>
      <w:hyperlink r:id="rId78" w:tooltip="Estatuto Tributario CETA" w:history="1">
        <w:r w:rsidR="00296598" w:rsidRPr="006F6B75">
          <w:rPr>
            <w:rFonts w:ascii="Times New Roman" w:eastAsia="Times New Roman" w:hAnsi="Times New Roman" w:cs="Times New Roman"/>
            <w:sz w:val="24"/>
            <w:szCs w:val="24"/>
            <w:lang w:eastAsia="es-CO"/>
          </w:rPr>
          <w:t>artículo 241</w:t>
        </w:r>
      </w:hyperlink>
      <w:r w:rsidR="00296598" w:rsidRPr="006F6B75">
        <w:rPr>
          <w:rFonts w:ascii="Times New Roman" w:eastAsia="Times New Roman" w:hAnsi="Times New Roman" w:cs="Times New Roman"/>
          <w:sz w:val="24"/>
          <w:szCs w:val="24"/>
          <w:lang w:eastAsia="es-CO"/>
        </w:rPr>
        <w:t> de este Estatuto, se seguirán las siguientes reglas: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Se sumarán las rentas líquidas cedulares obtenidas en las rentas de trabajo, de capital, no laborales y de pensiones. A esta renta líquida gravable le será aplicable la tarifa señalada en el </w:t>
      </w:r>
      <w:hyperlink r:id="rId79" w:tooltip="Estatuto Tributario CETA" w:history="1">
        <w:r w:rsidRPr="006F6B75">
          <w:rPr>
            <w:rFonts w:ascii="Times New Roman" w:eastAsia="Times New Roman" w:hAnsi="Times New Roman" w:cs="Times New Roman"/>
            <w:sz w:val="24"/>
            <w:szCs w:val="24"/>
            <w:lang w:eastAsia="es-CO"/>
          </w:rPr>
          <w:t>artículo 241</w:t>
        </w:r>
      </w:hyperlink>
      <w:r w:rsidRPr="006F6B75">
        <w:rPr>
          <w:rFonts w:ascii="Times New Roman" w:eastAsia="Times New Roman" w:hAnsi="Times New Roman" w:cs="Times New Roman"/>
          <w:sz w:val="24"/>
          <w:szCs w:val="24"/>
          <w:lang w:eastAsia="es-CO"/>
        </w:rPr>
        <w: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pérdidas de las rentas líquidas cedulares no se sumarán para efectos de determinar la renta líquida gravable. En cualquier caso, podrán compensarse en los términos del </w:t>
      </w:r>
      <w:hyperlink r:id="rId80" w:tooltip="Estatuto Tributario CETA" w:history="1">
        <w:r w:rsidRPr="006F6B75">
          <w:rPr>
            <w:rFonts w:ascii="Times New Roman" w:eastAsia="Times New Roman" w:hAnsi="Times New Roman" w:cs="Times New Roman"/>
            <w:sz w:val="24"/>
            <w:szCs w:val="24"/>
            <w:lang w:eastAsia="es-CO"/>
          </w:rPr>
          <w:t>artículo 330</w:t>
        </w:r>
      </w:hyperlink>
      <w:r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A la renta líquida cedular obtenida en la cédula de dividendos y participaciones le será aplicable la tarifa establecida en el </w:t>
      </w:r>
      <w:hyperlink r:id="rId81" w:tooltip="Estatuto Tributario CETA" w:history="1">
        <w:r w:rsidRPr="006F6B75">
          <w:rPr>
            <w:rFonts w:ascii="Times New Roman" w:eastAsia="Times New Roman" w:hAnsi="Times New Roman" w:cs="Times New Roman"/>
            <w:sz w:val="24"/>
            <w:szCs w:val="24"/>
            <w:lang w:eastAsia="es-CO"/>
          </w:rPr>
          <w:t>artículo 242</w:t>
        </w:r>
      </w:hyperlink>
      <w:r w:rsidRPr="006F6B75">
        <w:rPr>
          <w:rFonts w:ascii="Times New Roman" w:eastAsia="Times New Roman" w:hAnsi="Times New Roman" w:cs="Times New Roman"/>
          <w:sz w:val="24"/>
          <w:szCs w:val="24"/>
          <w:lang w:eastAsia="es-CO"/>
        </w:rPr>
        <w:t>de este Estatuto.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31.</w:t>
      </w:r>
      <w:r w:rsidRPr="006F6B75">
        <w:rPr>
          <w:rFonts w:ascii="Times New Roman" w:eastAsia="Times New Roman" w:hAnsi="Times New Roman" w:cs="Times New Roman"/>
          <w:sz w:val="24"/>
          <w:szCs w:val="24"/>
          <w:lang w:eastAsia="es-CO"/>
        </w:rPr>
        <w:t> Modifíquese el </w:t>
      </w:r>
      <w:hyperlink r:id="rId82" w:tooltip="Estatuto Tributario CETA" w:history="1">
        <w:r w:rsidRPr="006F6B75">
          <w:rPr>
            <w:rFonts w:ascii="Times New Roman" w:eastAsia="Times New Roman" w:hAnsi="Times New Roman" w:cs="Times New Roman"/>
            <w:sz w:val="24"/>
            <w:szCs w:val="24"/>
            <w:lang w:eastAsia="es-CO"/>
          </w:rPr>
          <w:t>artículo 333</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83" w:tooltip="Estatuto Tributario CETA" w:history="1">
        <w:r w:rsidR="00296598" w:rsidRPr="006F6B75">
          <w:rPr>
            <w:rFonts w:ascii="Times New Roman" w:eastAsia="Times New Roman" w:hAnsi="Times New Roman" w:cs="Times New Roman"/>
            <w:b/>
            <w:bCs/>
            <w:sz w:val="24"/>
            <w:szCs w:val="24"/>
            <w:lang w:eastAsia="es-CO"/>
          </w:rPr>
          <w:t>Artículo 333</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Base de renta presuntiva. </w:t>
      </w:r>
      <w:r w:rsidR="00296598" w:rsidRPr="006F6B75">
        <w:rPr>
          <w:rFonts w:ascii="Times New Roman" w:eastAsia="Times New Roman" w:hAnsi="Times New Roman" w:cs="Times New Roman"/>
          <w:sz w:val="24"/>
          <w:szCs w:val="24"/>
          <w:lang w:eastAsia="es-CO"/>
        </w:rPr>
        <w:t>Para efectos de los artículos </w:t>
      </w:r>
      <w:hyperlink r:id="rId84" w:tooltip="Estatuto Tributario CETA" w:history="1">
        <w:r w:rsidR="00296598" w:rsidRPr="006F6B75">
          <w:rPr>
            <w:rFonts w:ascii="Times New Roman" w:eastAsia="Times New Roman" w:hAnsi="Times New Roman" w:cs="Times New Roman"/>
            <w:sz w:val="24"/>
            <w:szCs w:val="24"/>
            <w:lang w:eastAsia="es-CO"/>
          </w:rPr>
          <w:t>188</w:t>
        </w:r>
      </w:hyperlink>
      <w:r w:rsidR="00296598" w:rsidRPr="006F6B75">
        <w:rPr>
          <w:rFonts w:ascii="Times New Roman" w:eastAsia="Times New Roman" w:hAnsi="Times New Roman" w:cs="Times New Roman"/>
          <w:sz w:val="24"/>
          <w:szCs w:val="24"/>
          <w:lang w:eastAsia="es-CO"/>
        </w:rPr>
        <w:t> y siguientes de este Estatuto, la base de renta presuntiva del contribuyente se comparará con la renta de la cédula general.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32.</w:t>
      </w:r>
      <w:r w:rsidRPr="006F6B75">
        <w:rPr>
          <w:rFonts w:ascii="Times New Roman" w:eastAsia="Times New Roman" w:hAnsi="Times New Roman" w:cs="Times New Roman"/>
          <w:sz w:val="24"/>
          <w:szCs w:val="24"/>
          <w:lang w:eastAsia="es-CO"/>
        </w:rPr>
        <w:t> Modifíquese el </w:t>
      </w:r>
      <w:hyperlink r:id="rId85" w:tooltip="Estatuto Tributario CETA" w:history="1">
        <w:r w:rsidRPr="006F6B75">
          <w:rPr>
            <w:rFonts w:ascii="Times New Roman" w:eastAsia="Times New Roman" w:hAnsi="Times New Roman" w:cs="Times New Roman"/>
            <w:sz w:val="24"/>
            <w:szCs w:val="24"/>
            <w:lang w:eastAsia="es-CO"/>
          </w:rPr>
          <w:t>artículo 335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86" w:tooltip="Estatuto Tributario CETA" w:history="1">
        <w:r w:rsidR="00296598" w:rsidRPr="006F6B75">
          <w:rPr>
            <w:rFonts w:ascii="Times New Roman" w:eastAsia="Times New Roman" w:hAnsi="Times New Roman" w:cs="Times New Roman"/>
            <w:b/>
            <w:bCs/>
            <w:sz w:val="24"/>
            <w:szCs w:val="24"/>
            <w:lang w:eastAsia="es-CO"/>
          </w:rPr>
          <w:t>Artículo 335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Ingresos de la cédula general. </w:t>
      </w:r>
      <w:r w:rsidR="00296598" w:rsidRPr="006F6B75">
        <w:rPr>
          <w:rFonts w:ascii="Times New Roman" w:eastAsia="Times New Roman" w:hAnsi="Times New Roman" w:cs="Times New Roman"/>
          <w:sz w:val="24"/>
          <w:szCs w:val="24"/>
          <w:lang w:eastAsia="es-CO"/>
        </w:rPr>
        <w:t>Para los efectos de este título, son ingresos de la cédula general los siguientes: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1. Rentas de trabajo:</w:t>
      </w:r>
      <w:r w:rsidRPr="006F6B75">
        <w:rPr>
          <w:rFonts w:ascii="Times New Roman" w:eastAsia="Times New Roman" w:hAnsi="Times New Roman" w:cs="Times New Roman"/>
          <w:sz w:val="24"/>
          <w:szCs w:val="24"/>
          <w:lang w:eastAsia="es-CO"/>
        </w:rPr>
        <w:t> las señaladas en el </w:t>
      </w:r>
      <w:hyperlink r:id="rId87" w:tooltip="Estatuto Tributario CETA" w:history="1">
        <w:r w:rsidRPr="006F6B75">
          <w:rPr>
            <w:rFonts w:ascii="Times New Roman" w:eastAsia="Times New Roman" w:hAnsi="Times New Roman" w:cs="Times New Roman"/>
            <w:sz w:val="24"/>
            <w:szCs w:val="24"/>
            <w:lang w:eastAsia="es-CO"/>
          </w:rPr>
          <w:t>artículo 103</w:t>
        </w:r>
      </w:hyperlink>
      <w:r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2. Rentas de capital:</w:t>
      </w:r>
      <w:r w:rsidRPr="006F6B75">
        <w:rPr>
          <w:rFonts w:ascii="Times New Roman" w:eastAsia="Times New Roman" w:hAnsi="Times New Roman" w:cs="Times New Roman"/>
          <w:sz w:val="24"/>
          <w:szCs w:val="24"/>
          <w:lang w:eastAsia="es-CO"/>
        </w:rPr>
        <w:t> las obtenidas por concepto de intereses, rendimientos financieros, arrendamientos, regalías y explotación de la propiedad intelectual.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3. Rentas no laborales:</w:t>
      </w:r>
      <w:r w:rsidRPr="006F6B75">
        <w:rPr>
          <w:rFonts w:ascii="Times New Roman" w:eastAsia="Times New Roman" w:hAnsi="Times New Roman" w:cs="Times New Roman"/>
          <w:sz w:val="24"/>
          <w:szCs w:val="24"/>
          <w:lang w:eastAsia="es-CO"/>
        </w:rPr>
        <w:t> se consideran ingresos de las rentas no laborales todos los que no se clasifiquen expresamente en ninguna otra cédula, con excepción de los dividendos y las ganancias ocasionales, que se rigen según sus reglas especiales.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33.</w:t>
      </w:r>
      <w:r w:rsidRPr="006F6B75">
        <w:rPr>
          <w:rFonts w:ascii="Times New Roman" w:eastAsia="Times New Roman" w:hAnsi="Times New Roman" w:cs="Times New Roman"/>
          <w:sz w:val="24"/>
          <w:szCs w:val="24"/>
          <w:lang w:eastAsia="es-CO"/>
        </w:rPr>
        <w:t> Modifíquese el </w:t>
      </w:r>
      <w:hyperlink r:id="rId88" w:tooltip="Estatuto Tributario CETA" w:history="1">
        <w:r w:rsidRPr="006F6B75">
          <w:rPr>
            <w:rFonts w:ascii="Times New Roman" w:eastAsia="Times New Roman" w:hAnsi="Times New Roman" w:cs="Times New Roman"/>
            <w:sz w:val="24"/>
            <w:szCs w:val="24"/>
            <w:lang w:eastAsia="es-CO"/>
          </w:rPr>
          <w:t>artículo 336</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89" w:tooltip="Estatuto Tributario CETA" w:history="1">
        <w:r w:rsidR="00296598" w:rsidRPr="006F6B75">
          <w:rPr>
            <w:rFonts w:ascii="Times New Roman" w:eastAsia="Times New Roman" w:hAnsi="Times New Roman" w:cs="Times New Roman"/>
            <w:b/>
            <w:bCs/>
            <w:sz w:val="24"/>
            <w:szCs w:val="24"/>
            <w:lang w:eastAsia="es-CO"/>
          </w:rPr>
          <w:t>Artículo 336</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Renta líquida gravable de la cédula general. </w:t>
      </w:r>
      <w:r w:rsidR="00296598" w:rsidRPr="006F6B75">
        <w:rPr>
          <w:rFonts w:ascii="Times New Roman" w:eastAsia="Times New Roman" w:hAnsi="Times New Roman" w:cs="Times New Roman"/>
          <w:sz w:val="24"/>
          <w:szCs w:val="24"/>
          <w:lang w:eastAsia="es-CO"/>
        </w:rPr>
        <w:t>Para efectos de establecer la renta líquida de la cédula general, se seguirán las siguientes reglas: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Se sumarán los ingresos obtenidos por todo concepto excepto los correspondientes a dividendos y ganancias ocasionales.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A la suma anterior, se le restarán los ingresos no constitutivos de renta imputables a cada ingreso.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Al valor resultante podrán restarse todas las rentas exentas y las deducciones especiales imputables a esta cédula, siempre que no excedan el cuarenta (40%) del resultado del numeral anterior, que en todo caso no puede exceder de cinco mil cuarenta (5.040)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4. 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34.</w:t>
      </w:r>
      <w:r w:rsidRPr="006F6B75">
        <w:rPr>
          <w:rFonts w:ascii="Times New Roman" w:eastAsia="Times New Roman" w:hAnsi="Times New Roman" w:cs="Times New Roman"/>
          <w:sz w:val="24"/>
          <w:szCs w:val="24"/>
          <w:lang w:eastAsia="es-CO"/>
        </w:rPr>
        <w:t> Modifíquense el inciso primero y la tabla de retención en la fuente del </w:t>
      </w:r>
      <w:hyperlink r:id="rId90" w:tooltip="Estatuto Tributario CETA" w:history="1">
        <w:r w:rsidRPr="006F6B75">
          <w:rPr>
            <w:rFonts w:ascii="Times New Roman" w:eastAsia="Times New Roman" w:hAnsi="Times New Roman" w:cs="Times New Roman"/>
            <w:sz w:val="24"/>
            <w:szCs w:val="24"/>
            <w:lang w:eastAsia="es-CO"/>
          </w:rPr>
          <w:t>artículo 383</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91" w:tooltip="Estatuto Tributario CETA" w:history="1">
        <w:r w:rsidR="00296598" w:rsidRPr="006F6B75">
          <w:rPr>
            <w:rFonts w:ascii="Times New Roman" w:eastAsia="Times New Roman" w:hAnsi="Times New Roman" w:cs="Times New Roman"/>
            <w:b/>
            <w:bCs/>
            <w:sz w:val="24"/>
            <w:szCs w:val="24"/>
            <w:lang w:eastAsia="es-CO"/>
          </w:rPr>
          <w:t>Artículo 383</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Tarifa</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será la que resulte de aplicar a dichos pagos la siguiente tabla de retención en la fuente:</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75A87345" wp14:editId="5A5B1247">
            <wp:extent cx="3124200" cy="3474720"/>
            <wp:effectExtent l="0" t="0" r="0" b="0"/>
            <wp:docPr id="3" name="Imagen 3" descr="http://www.ceta.org.co/html/imagenes/35690-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eta.org.co/html/imagenes/35690-img3.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24200" cy="3474720"/>
                    </a:xfrm>
                    <a:prstGeom prst="rect">
                      <a:avLst/>
                    </a:prstGeom>
                    <a:noFill/>
                    <a:ln>
                      <a:noFill/>
                    </a:ln>
                  </pic:spPr>
                </pic:pic>
              </a:graphicData>
            </a:graphic>
          </wp:inline>
        </w:drawing>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TÍTULO III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NORMAS DE FINANCIAMIENTO A TRAVÉS DE IMPUESTOS AL PATRIMONIO, NORMALIZACIÓN Y DIVIDENDOS</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Impuesto al patrimonio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35.</w:t>
      </w:r>
      <w:r w:rsidRPr="006F6B75">
        <w:rPr>
          <w:rFonts w:ascii="Times New Roman" w:eastAsia="Times New Roman" w:hAnsi="Times New Roman" w:cs="Times New Roman"/>
          <w:sz w:val="24"/>
          <w:szCs w:val="24"/>
          <w:lang w:eastAsia="es-CO"/>
        </w:rPr>
        <w:t> Modifíquese el </w:t>
      </w:r>
      <w:hyperlink r:id="rId93" w:tooltip="Estatuto Tributario CETA" w:history="1">
        <w:r w:rsidRPr="006F6B75">
          <w:rPr>
            <w:rFonts w:ascii="Times New Roman" w:eastAsia="Times New Roman" w:hAnsi="Times New Roman" w:cs="Times New Roman"/>
            <w:sz w:val="24"/>
            <w:szCs w:val="24"/>
            <w:lang w:eastAsia="es-CO"/>
          </w:rPr>
          <w:t>artículo 292-2</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94" w:tooltip="Estatuto Tributario CETA" w:history="1">
        <w:r w:rsidR="00296598" w:rsidRPr="006F6B75">
          <w:rPr>
            <w:rFonts w:ascii="Times New Roman" w:eastAsia="Times New Roman" w:hAnsi="Times New Roman" w:cs="Times New Roman"/>
            <w:b/>
            <w:bCs/>
            <w:sz w:val="24"/>
            <w:szCs w:val="24"/>
            <w:lang w:eastAsia="es-CO"/>
          </w:rPr>
          <w:t>Artículo 292-2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Impuesto al patrimonio - Sujetos pasivos. </w:t>
      </w:r>
      <w:r w:rsidR="00296598" w:rsidRPr="006F6B75">
        <w:rPr>
          <w:rFonts w:ascii="Times New Roman" w:eastAsia="Times New Roman" w:hAnsi="Times New Roman" w:cs="Times New Roman"/>
          <w:sz w:val="24"/>
          <w:szCs w:val="24"/>
          <w:lang w:eastAsia="es-CO"/>
        </w:rPr>
        <w:t>Por los años 2019, 2020 y 2021, créase un impuesto extraordinario denominado el impuesto al patrimonio a cargo de: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Las personas naturales, las sucesiones ilíquidas, contribuyentes del impuesto sobre la renta y complementarios.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Las personas naturales, nacionales o extranjeras, que no tengan residencia en el país, respecto de su patrimonio poseído directamente en el país, salvo las excepciones previstas en los tratados internacionales y en el derecho interno.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Las sucesiones ilíquidas de causantes sin residencia en el país al momento de su muerte respecto de su patrimonio poseído en el país.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w:t>
      </w:r>
      <w:hyperlink r:id="rId95" w:tooltip="Estatuto Tributario CETA" w:history="1">
        <w:r w:rsidRPr="006F6B75">
          <w:rPr>
            <w:rFonts w:ascii="Times New Roman" w:eastAsia="Times New Roman" w:hAnsi="Times New Roman" w:cs="Times New Roman"/>
            <w:sz w:val="24"/>
            <w:szCs w:val="24"/>
            <w:lang w:eastAsia="es-CO"/>
          </w:rPr>
          <w:t>18-1</w:t>
        </w:r>
      </w:hyperlink>
      <w:r w:rsidRPr="006F6B75">
        <w:rPr>
          <w:rFonts w:ascii="Times New Roman" w:eastAsia="Times New Roman" w:hAnsi="Times New Roman" w:cs="Times New Roman"/>
          <w:sz w:val="24"/>
          <w:szCs w:val="24"/>
          <w:lang w:eastAsia="es-CO"/>
        </w:rPr>
        <w:t>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Para el caso de los contribuyentes del impuesto al patrimonio señalados en el numeral 3 del presente artículo, el deber formal de declarar estará en cabeza de la sucursal o del establecimiento permanente, según sea el caso.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36.</w:t>
      </w:r>
      <w:r w:rsidRPr="006F6B75">
        <w:rPr>
          <w:rFonts w:ascii="Times New Roman" w:eastAsia="Times New Roman" w:hAnsi="Times New Roman" w:cs="Times New Roman"/>
          <w:sz w:val="24"/>
          <w:szCs w:val="24"/>
          <w:lang w:eastAsia="es-CO"/>
        </w:rPr>
        <w:t> Modifíquese el </w:t>
      </w:r>
      <w:hyperlink r:id="rId96" w:tooltip="Estatuto Tributario CETA" w:history="1">
        <w:r w:rsidRPr="006F6B75">
          <w:rPr>
            <w:rFonts w:ascii="Times New Roman" w:eastAsia="Times New Roman" w:hAnsi="Times New Roman" w:cs="Times New Roman"/>
            <w:sz w:val="24"/>
            <w:szCs w:val="24"/>
            <w:lang w:eastAsia="es-CO"/>
          </w:rPr>
          <w:t>artículo 294-2</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97" w:tooltip="Estatuto Tributario CETA" w:history="1">
        <w:r w:rsidR="00296598" w:rsidRPr="006F6B75">
          <w:rPr>
            <w:rFonts w:ascii="Times New Roman" w:eastAsia="Times New Roman" w:hAnsi="Times New Roman" w:cs="Times New Roman"/>
            <w:b/>
            <w:bCs/>
            <w:sz w:val="24"/>
            <w:szCs w:val="24"/>
            <w:lang w:eastAsia="es-CO"/>
          </w:rPr>
          <w:t>Artículo 294-2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Hecho generador. </w:t>
      </w:r>
      <w:r w:rsidR="00296598" w:rsidRPr="006F6B75">
        <w:rPr>
          <w:rFonts w:ascii="Times New Roman" w:eastAsia="Times New Roman" w:hAnsi="Times New Roman" w:cs="Times New Roman"/>
          <w:sz w:val="24"/>
          <w:szCs w:val="24"/>
          <w:lang w:eastAsia="es-CO"/>
        </w:rPr>
        <w:t>El impuesto al patrimonio se genera por la posesión del mismo al 1° de enero del año 2019, cuyo valor sea igual o superior a cinco mil ($5.000) millones de pesos.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37.</w:t>
      </w:r>
      <w:r w:rsidRPr="006F6B75">
        <w:rPr>
          <w:rFonts w:ascii="Times New Roman" w:eastAsia="Times New Roman" w:hAnsi="Times New Roman" w:cs="Times New Roman"/>
          <w:sz w:val="24"/>
          <w:szCs w:val="24"/>
          <w:lang w:eastAsia="es-CO"/>
        </w:rPr>
        <w:t> Modifíquese el </w:t>
      </w:r>
      <w:hyperlink r:id="rId98" w:tooltip="Estatuto Tributario CETA" w:history="1">
        <w:r w:rsidRPr="006F6B75">
          <w:rPr>
            <w:rFonts w:ascii="Times New Roman" w:eastAsia="Times New Roman" w:hAnsi="Times New Roman" w:cs="Times New Roman"/>
            <w:sz w:val="24"/>
            <w:szCs w:val="24"/>
            <w:lang w:eastAsia="es-CO"/>
          </w:rPr>
          <w:t>artículo 295-2</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99" w:tooltip="Estatuto Tributario CETA" w:history="1">
        <w:r w:rsidR="00296598" w:rsidRPr="006F6B75">
          <w:rPr>
            <w:rFonts w:ascii="Times New Roman" w:eastAsia="Times New Roman" w:hAnsi="Times New Roman" w:cs="Times New Roman"/>
            <w:b/>
            <w:bCs/>
            <w:sz w:val="24"/>
            <w:szCs w:val="24"/>
            <w:lang w:eastAsia="es-CO"/>
          </w:rPr>
          <w:t>Artículo 295-2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Base gravable. </w:t>
      </w:r>
      <w:r w:rsidR="00296598" w:rsidRPr="006F6B75">
        <w:rPr>
          <w:rFonts w:ascii="Times New Roman" w:eastAsia="Times New Roman" w:hAnsi="Times New Roman" w:cs="Times New Roman"/>
          <w:sz w:val="24"/>
          <w:szCs w:val="24"/>
          <w:lang w:eastAsia="es-CO"/>
        </w:rPr>
        <w:t xml:space="preserve">La base gravable del impuesto al patrimonio es el valor del patrimonio bruto de las personas naturales, sucesiones ilíquidas y sociedades o entidades extranjeras poseído a 1º de enero de 2019, 2020 y 2021 menos las deudas a cargo de los mismos vigentes en esas mismas fechas, determinado conforme a lo previsto en el Título II del Libro I de este Estatuto, excluyendo el valor patrimonial que tengan al 1º de enero de 2019, </w:t>
      </w:r>
      <w:r w:rsidR="00296598" w:rsidRPr="006F6B75">
        <w:rPr>
          <w:rFonts w:ascii="Times New Roman" w:eastAsia="Times New Roman" w:hAnsi="Times New Roman" w:cs="Times New Roman"/>
          <w:sz w:val="24"/>
          <w:szCs w:val="24"/>
          <w:lang w:eastAsia="es-CO"/>
        </w:rPr>
        <w:lastRenderedPageBreak/>
        <w:t>2020 y 2021 para las personas naturales, las sucesiones ilíquidas y sociedades o entidades extranjeras, los siguientes bienes: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En el caso de las personas naturales, las primeras 13.500 UVT del valor patrimonial de su casa o apartamento de habitación.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El cincuenta por ciento (50%) del valor patrimonial de los bienes objeto del impuesto complementario de normalización tributaria que sean declarados en el período gravable 2019 y que hayan sido repatriados al país de forma permanente.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valores patrimoniales que se pueden excluir de la base gravable del impuesto al patrimonio se determinará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1º de enero de 2019, y a 1º de enero de 2020 y a partir del 1° de enero de 2021.</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 caso de que la base gravable del impuesto al patrimonio determinado en cualquiera de los años 2020 y 2021, sea superior a aquella determinada en el año 2019, la base gravable para cualquiera de dichos años será la menor entre la base gravable determinada en el año 2019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cualquiera de los años 2020 y 2021, es inferior a aquella determinada en el año 2019, la base gravable para cada uno de los años será la mayor entre la base gravable determinada en el año 2019 disminuida en el veinticinco por ciento (25%) de la inflación certificada por el Departamento Nacional de Estadística (DANE) para el año inmediatamente anterior al declarado y la base gravable determinada en el año en que se declara.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 el caso de las personas naturales sin residencia en el país que tengan un establecimiento permanente en Colombia, la base gravable corresponderá al patrimonio atribuido al establecimiento permanente de conformidad con lo establecido en el </w:t>
      </w:r>
      <w:hyperlink r:id="rId100" w:tooltip="Estatuto Tributario CETA" w:history="1">
        <w:r w:rsidRPr="006F6B75">
          <w:rPr>
            <w:rFonts w:ascii="Times New Roman" w:eastAsia="Times New Roman" w:hAnsi="Times New Roman" w:cs="Times New Roman"/>
            <w:sz w:val="24"/>
            <w:szCs w:val="24"/>
            <w:lang w:eastAsia="es-CO"/>
          </w:rPr>
          <w:t>artículo 20-2</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efectos de la determinación de los activos, pasivos, capital, ingresos, costos y gastos que se tienen en cuenta al establecer el patrimonio atribuible a un establecimiento permanente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38.</w:t>
      </w:r>
      <w:r w:rsidRPr="006F6B75">
        <w:rPr>
          <w:rFonts w:ascii="Times New Roman" w:eastAsia="Times New Roman" w:hAnsi="Times New Roman" w:cs="Times New Roman"/>
          <w:sz w:val="24"/>
          <w:szCs w:val="24"/>
          <w:lang w:eastAsia="es-CO"/>
        </w:rPr>
        <w:t> Modifíquese el </w:t>
      </w:r>
      <w:hyperlink r:id="rId101" w:tooltip="Estatuto Tributario CETA" w:history="1">
        <w:r w:rsidRPr="006F6B75">
          <w:rPr>
            <w:rFonts w:ascii="Times New Roman" w:eastAsia="Times New Roman" w:hAnsi="Times New Roman" w:cs="Times New Roman"/>
            <w:sz w:val="24"/>
            <w:szCs w:val="24"/>
            <w:lang w:eastAsia="es-CO"/>
          </w:rPr>
          <w:t>artículo 296-2</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02" w:tooltip="Estatuto Tributario CETA" w:history="1">
        <w:r w:rsidR="00296598" w:rsidRPr="006F6B75">
          <w:rPr>
            <w:rFonts w:ascii="Times New Roman" w:eastAsia="Times New Roman" w:hAnsi="Times New Roman" w:cs="Times New Roman"/>
            <w:b/>
            <w:bCs/>
            <w:sz w:val="24"/>
            <w:szCs w:val="24"/>
            <w:lang w:eastAsia="es-CO"/>
          </w:rPr>
          <w:t>Artículo 296-2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Tarifa</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La tarifa del impuesto al patrimonio es del 1% por cada año, del total de la base gravable establecida, de conformidad con el </w:t>
      </w:r>
      <w:hyperlink r:id="rId103" w:tooltip="Estatuto Tributario CETA" w:history="1">
        <w:r w:rsidR="00296598" w:rsidRPr="006F6B75">
          <w:rPr>
            <w:rFonts w:ascii="Times New Roman" w:eastAsia="Times New Roman" w:hAnsi="Times New Roman" w:cs="Times New Roman"/>
            <w:sz w:val="24"/>
            <w:szCs w:val="24"/>
            <w:lang w:eastAsia="es-CO"/>
          </w:rPr>
          <w:t>artículo 295-2</w:t>
        </w:r>
      </w:hyperlink>
      <w:r w:rsidR="00296598"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39.</w:t>
      </w:r>
      <w:r w:rsidRPr="006F6B75">
        <w:rPr>
          <w:rFonts w:ascii="Times New Roman" w:eastAsia="Times New Roman" w:hAnsi="Times New Roman" w:cs="Times New Roman"/>
          <w:sz w:val="24"/>
          <w:szCs w:val="24"/>
          <w:lang w:eastAsia="es-CO"/>
        </w:rPr>
        <w:t> Modifíquese el </w:t>
      </w:r>
      <w:hyperlink r:id="rId104" w:tooltip="Estatuto Tributario CETA" w:history="1">
        <w:r w:rsidRPr="006F6B75">
          <w:rPr>
            <w:rFonts w:ascii="Times New Roman" w:eastAsia="Times New Roman" w:hAnsi="Times New Roman" w:cs="Times New Roman"/>
            <w:sz w:val="24"/>
            <w:szCs w:val="24"/>
            <w:lang w:eastAsia="es-CO"/>
          </w:rPr>
          <w:t>artículo 297-2</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05" w:tooltip="Estatuto Tributario CETA" w:history="1">
        <w:r w:rsidR="00296598" w:rsidRPr="006F6B75">
          <w:rPr>
            <w:rFonts w:ascii="Times New Roman" w:eastAsia="Times New Roman" w:hAnsi="Times New Roman" w:cs="Times New Roman"/>
            <w:b/>
            <w:bCs/>
            <w:sz w:val="24"/>
            <w:szCs w:val="24"/>
            <w:lang w:eastAsia="es-CO"/>
          </w:rPr>
          <w:t>Artículo 297-2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Causación</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La obligación legal del impuesto al patrimonio se causa el 1º de enero de 2019, el 1º de enero de 2020 y el 1º de enero de 2021.</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40.</w:t>
      </w:r>
      <w:r w:rsidRPr="006F6B75">
        <w:rPr>
          <w:rFonts w:ascii="Times New Roman" w:eastAsia="Times New Roman" w:hAnsi="Times New Roman" w:cs="Times New Roman"/>
          <w:sz w:val="24"/>
          <w:szCs w:val="24"/>
          <w:lang w:eastAsia="es-CO"/>
        </w:rPr>
        <w:t> Modifíquese el </w:t>
      </w:r>
      <w:hyperlink r:id="rId106" w:tooltip="Estatuto Tributario CETA" w:history="1">
        <w:r w:rsidRPr="006F6B75">
          <w:rPr>
            <w:rFonts w:ascii="Times New Roman" w:eastAsia="Times New Roman" w:hAnsi="Times New Roman" w:cs="Times New Roman"/>
            <w:sz w:val="24"/>
            <w:szCs w:val="24"/>
            <w:lang w:eastAsia="es-CO"/>
          </w:rPr>
          <w:t>artículo 298-6</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07" w:tooltip="Estatuto Tributario CETA" w:history="1">
        <w:r w:rsidR="00296598" w:rsidRPr="006F6B75">
          <w:rPr>
            <w:rFonts w:ascii="Times New Roman" w:eastAsia="Times New Roman" w:hAnsi="Times New Roman" w:cs="Times New Roman"/>
            <w:b/>
            <w:bCs/>
            <w:sz w:val="24"/>
            <w:szCs w:val="24"/>
            <w:lang w:eastAsia="es-CO"/>
          </w:rPr>
          <w:t>Artículo 298-6</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No deducibilidad del impuesto. </w:t>
      </w:r>
      <w:r w:rsidR="00296598" w:rsidRPr="006F6B75">
        <w:rPr>
          <w:rFonts w:ascii="Times New Roman" w:eastAsia="Times New Roman" w:hAnsi="Times New Roman" w:cs="Times New Roman"/>
          <w:sz w:val="24"/>
          <w:szCs w:val="24"/>
          <w:lang w:eastAsia="es-CO"/>
        </w:rPr>
        <w:t>En ningún caso el valor cancelado por concepto del impuesto al patrimonio, ni su complementario de normalización tributaria serán deducibles o descontables en el impuesto sobre la renta y complementarios, ni podrán ser compensados con estos ni con otros impuestos.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41.</w:t>
      </w:r>
      <w:r w:rsidRPr="006F6B75">
        <w:rPr>
          <w:rFonts w:ascii="Times New Roman" w:eastAsia="Times New Roman" w:hAnsi="Times New Roman" w:cs="Times New Roman"/>
          <w:sz w:val="24"/>
          <w:szCs w:val="24"/>
          <w:lang w:eastAsia="es-CO"/>
        </w:rPr>
        <w:t> Modifíquese el </w:t>
      </w:r>
      <w:hyperlink r:id="rId108" w:tooltip="Estatuto Tributario CETA" w:history="1">
        <w:r w:rsidRPr="006F6B75">
          <w:rPr>
            <w:rFonts w:ascii="Times New Roman" w:eastAsia="Times New Roman" w:hAnsi="Times New Roman" w:cs="Times New Roman"/>
            <w:sz w:val="24"/>
            <w:szCs w:val="24"/>
            <w:lang w:eastAsia="es-CO"/>
          </w:rPr>
          <w:t>artículo 298-8</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09" w:tooltip="Estatuto Tributario CETA" w:history="1">
        <w:r w:rsidR="00296598" w:rsidRPr="006F6B75">
          <w:rPr>
            <w:rFonts w:ascii="Times New Roman" w:eastAsia="Times New Roman" w:hAnsi="Times New Roman" w:cs="Times New Roman"/>
            <w:b/>
            <w:bCs/>
            <w:sz w:val="24"/>
            <w:szCs w:val="24"/>
            <w:lang w:eastAsia="es-CO"/>
          </w:rPr>
          <w:t>Artículo 298-8</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Remisión</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El impuesto al patrimonio de que trata el </w:t>
      </w:r>
      <w:hyperlink r:id="rId110" w:tooltip="Estatuto Tributario CETA" w:history="1">
        <w:r w:rsidR="00296598" w:rsidRPr="006F6B75">
          <w:rPr>
            <w:rFonts w:ascii="Times New Roman" w:eastAsia="Times New Roman" w:hAnsi="Times New Roman" w:cs="Times New Roman"/>
            <w:sz w:val="24"/>
            <w:szCs w:val="24"/>
            <w:lang w:eastAsia="es-CO"/>
          </w:rPr>
          <w:t>artículo 292-2</w:t>
        </w:r>
      </w:hyperlink>
      <w:r w:rsidR="00296598" w:rsidRPr="006F6B75">
        <w:rPr>
          <w:rFonts w:ascii="Times New Roman" w:eastAsia="Times New Roman" w:hAnsi="Times New Roman" w:cs="Times New Roman"/>
          <w:sz w:val="24"/>
          <w:szCs w:val="24"/>
          <w:lang w:eastAsia="es-CO"/>
        </w:rPr>
        <w:t> de este Estatuto se somete a las normas sobre declaración, pago, administración y control contempladas en los artículos </w:t>
      </w:r>
      <w:hyperlink r:id="rId111" w:tooltip="Estatuto Tributario CETA" w:history="1">
        <w:r w:rsidR="00296598" w:rsidRPr="006F6B75">
          <w:rPr>
            <w:rFonts w:ascii="Times New Roman" w:eastAsia="Times New Roman" w:hAnsi="Times New Roman" w:cs="Times New Roman"/>
            <w:sz w:val="24"/>
            <w:szCs w:val="24"/>
            <w:lang w:eastAsia="es-CO"/>
          </w:rPr>
          <w:t>298</w:t>
        </w:r>
      </w:hyperlink>
      <w:r w:rsidR="00296598" w:rsidRPr="006F6B75">
        <w:rPr>
          <w:rFonts w:ascii="Times New Roman" w:eastAsia="Times New Roman" w:hAnsi="Times New Roman" w:cs="Times New Roman"/>
          <w:sz w:val="24"/>
          <w:szCs w:val="24"/>
          <w:lang w:eastAsia="es-CO"/>
        </w:rPr>
        <w:t>, </w:t>
      </w:r>
      <w:hyperlink r:id="rId112" w:tooltip="Estatuto Tributario CETA" w:history="1">
        <w:r w:rsidR="00296598" w:rsidRPr="006F6B75">
          <w:rPr>
            <w:rFonts w:ascii="Times New Roman" w:eastAsia="Times New Roman" w:hAnsi="Times New Roman" w:cs="Times New Roman"/>
            <w:sz w:val="24"/>
            <w:szCs w:val="24"/>
            <w:lang w:eastAsia="es-CO"/>
          </w:rPr>
          <w:t>298-1</w:t>
        </w:r>
      </w:hyperlink>
      <w:r w:rsidR="00296598" w:rsidRPr="006F6B75">
        <w:rPr>
          <w:rFonts w:ascii="Times New Roman" w:eastAsia="Times New Roman" w:hAnsi="Times New Roman" w:cs="Times New Roman"/>
          <w:sz w:val="24"/>
          <w:szCs w:val="24"/>
          <w:lang w:eastAsia="es-CO"/>
        </w:rPr>
        <w:t>, </w:t>
      </w:r>
      <w:hyperlink r:id="rId113" w:tooltip="Estatuto Tributario CETA" w:history="1">
        <w:r w:rsidR="00296598" w:rsidRPr="006F6B75">
          <w:rPr>
            <w:rFonts w:ascii="Times New Roman" w:eastAsia="Times New Roman" w:hAnsi="Times New Roman" w:cs="Times New Roman"/>
            <w:sz w:val="24"/>
            <w:szCs w:val="24"/>
            <w:lang w:eastAsia="es-CO"/>
          </w:rPr>
          <w:t>298-2</w:t>
        </w:r>
      </w:hyperlink>
      <w:r w:rsidR="00296598" w:rsidRPr="006F6B75">
        <w:rPr>
          <w:rFonts w:ascii="Times New Roman" w:eastAsia="Times New Roman" w:hAnsi="Times New Roman" w:cs="Times New Roman"/>
          <w:sz w:val="24"/>
          <w:szCs w:val="24"/>
          <w:lang w:eastAsia="es-CO"/>
        </w:rPr>
        <w:t> y demás disposiciones concordantes de este Estatuto.</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Nuevo impuesto de normalización tributaria complementario al impuesto sobre la renta y al impuesto al patrimonio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42.</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Impuesto complementario de normalización tributaria - Sujetos pasivos. </w:t>
      </w:r>
      <w:r w:rsidRPr="006F6B75">
        <w:rPr>
          <w:rFonts w:ascii="Times New Roman" w:eastAsia="Times New Roman" w:hAnsi="Times New Roman" w:cs="Times New Roman"/>
          <w:sz w:val="24"/>
          <w:szCs w:val="24"/>
          <w:lang w:eastAsia="es-CO"/>
        </w:rPr>
        <w:t>Créase para el año 2019 el nuevo impuesto de normalización tributaria como un impuesto complementario al impuesto sobre la renta y al impuesto al patrimonio, el cual estará a cargo de los contribuyentes del impuesto sobre la renta que tengan activos omitidos o pasivos inexistentes. El impuesto complementario de normalización se declarará, liquidará y pagará en una declaración independiente, que será presentada el 25 de septiembre de 2019.</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Los contribuyentes del impuesto sobre la renta que no tengan activos omitidos o pasivos inexistentes a 1° de enero de 2019 no serán sujetos pasivos del nuevo impuesto complementario de normalización, salvo que decidan acogerse al saneamiento establecido en el artículo 48 de la presente ley.</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43.</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Hecho generador. </w:t>
      </w:r>
      <w:r w:rsidRPr="006F6B75">
        <w:rPr>
          <w:rFonts w:ascii="Times New Roman" w:eastAsia="Times New Roman" w:hAnsi="Times New Roman" w:cs="Times New Roman"/>
          <w:sz w:val="24"/>
          <w:szCs w:val="24"/>
          <w:lang w:eastAsia="es-CO"/>
        </w:rPr>
        <w:t>El impuesto complementario de normalización tributaria se causa por la posesión de activos omitidos o pasivos inexistentes a 1º de enero del año 2019.</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 xml:space="preserve">Para efectos de lo dispuesto en este artículo, se entiende por activos omitidos aquellos que no fueron incluidos en las declaraciones de impuestos nacionales existiendo la obligación legal de hacerlo. Se entiende por pasivo inexistente, el declarado en las declaraciones </w:t>
      </w:r>
      <w:r w:rsidRPr="006F6B75">
        <w:rPr>
          <w:rFonts w:ascii="Times New Roman" w:eastAsia="Times New Roman" w:hAnsi="Times New Roman" w:cs="Times New Roman"/>
          <w:sz w:val="24"/>
          <w:szCs w:val="24"/>
          <w:lang w:eastAsia="es-CO"/>
        </w:rPr>
        <w:lastRenderedPageBreak/>
        <w:t>de impuestos nacionales sin que exista un soporte válido de realidad o validez, con el único fin de aminorar o disminuir la carga tributaria a cargo del contribuyente.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44. </w:t>
      </w:r>
      <w:r w:rsidRPr="006F6B75">
        <w:rPr>
          <w:rFonts w:ascii="Times New Roman" w:eastAsia="Times New Roman" w:hAnsi="Times New Roman" w:cs="Times New Roman"/>
          <w:i/>
          <w:iCs/>
          <w:sz w:val="24"/>
          <w:szCs w:val="24"/>
          <w:lang w:eastAsia="es-CO"/>
        </w:rPr>
        <w:t>Base gravable. </w:t>
      </w:r>
      <w:r w:rsidRPr="006F6B75">
        <w:rPr>
          <w:rFonts w:ascii="Times New Roman" w:eastAsia="Times New Roman" w:hAnsi="Times New Roman" w:cs="Times New Roman"/>
          <w:sz w:val="24"/>
          <w:szCs w:val="24"/>
          <w:lang w:eastAsia="es-CO"/>
        </w:rPr>
        <w:t xml:space="preserve">La base gravable del impuesto complementario de normalización tributaria será el valor del costo fiscal histórico de los activos omitidos determinado conforme a las reglas del Título II del Libro I del Estatuto Tributario o el </w:t>
      </w:r>
      <w:proofErr w:type="spellStart"/>
      <w:r w:rsidRPr="006F6B75">
        <w:rPr>
          <w:rFonts w:ascii="Times New Roman" w:eastAsia="Times New Roman" w:hAnsi="Times New Roman" w:cs="Times New Roman"/>
          <w:sz w:val="24"/>
          <w:szCs w:val="24"/>
          <w:lang w:eastAsia="es-CO"/>
        </w:rPr>
        <w:t>autoavalúo</w:t>
      </w:r>
      <w:proofErr w:type="spellEnd"/>
      <w:r w:rsidRPr="006F6B75">
        <w:rPr>
          <w:rFonts w:ascii="Times New Roman" w:eastAsia="Times New Roman" w:hAnsi="Times New Roman" w:cs="Times New Roman"/>
          <w:sz w:val="24"/>
          <w:szCs w:val="24"/>
          <w:lang w:eastAsia="es-CO"/>
        </w:rPr>
        <w:t xml:space="preserve"> comercial que establezca el contribuyente con soporte técnico, el cual deberá corresponder, como mínimo, al del costo fiscal de los activos omitidos determinado conforme a las reglas del Título II del Libro I del Estatuto Tributario.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 xml:space="preserve"> Para efectos del nuevo impuesto de normalización tributaria, las fundaciones de interés privado del exterior, </w:t>
      </w:r>
      <w:proofErr w:type="spellStart"/>
      <w:r w:rsidRPr="006F6B75">
        <w:rPr>
          <w:rFonts w:ascii="Times New Roman" w:eastAsia="Times New Roman" w:hAnsi="Times New Roman" w:cs="Times New Roman"/>
          <w:sz w:val="24"/>
          <w:szCs w:val="24"/>
          <w:lang w:eastAsia="es-CO"/>
        </w:rPr>
        <w:t>trusts</w:t>
      </w:r>
      <w:proofErr w:type="spellEnd"/>
      <w:r w:rsidRPr="006F6B75">
        <w:rPr>
          <w:rFonts w:ascii="Times New Roman" w:eastAsia="Times New Roman" w:hAnsi="Times New Roman" w:cs="Times New Roman"/>
          <w:sz w:val="24"/>
          <w:szCs w:val="24"/>
          <w:lang w:eastAsia="es-CO"/>
        </w:rPr>
        <w:t xml:space="preserve">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 del Libro I del Estatuto Tributario o el </w:t>
      </w:r>
      <w:proofErr w:type="spellStart"/>
      <w:r w:rsidRPr="006F6B75">
        <w:rPr>
          <w:rFonts w:ascii="Times New Roman" w:eastAsia="Times New Roman" w:hAnsi="Times New Roman" w:cs="Times New Roman"/>
          <w:sz w:val="24"/>
          <w:szCs w:val="24"/>
          <w:lang w:eastAsia="es-CO"/>
        </w:rPr>
        <w:t>autoavalúo</w:t>
      </w:r>
      <w:proofErr w:type="spellEnd"/>
      <w:r w:rsidRPr="006F6B75">
        <w:rPr>
          <w:rFonts w:ascii="Times New Roman" w:eastAsia="Times New Roman" w:hAnsi="Times New Roman" w:cs="Times New Roman"/>
          <w:sz w:val="24"/>
          <w:szCs w:val="24"/>
          <w:lang w:eastAsia="es-CO"/>
        </w:rPr>
        <w:t xml:space="preserve"> comercial que establezca e contribuyente con soporte técnico y para el cálculo de su costo fiscal se aplicará el principio de transparencia fiscal en referencia a los activos subyacentes.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todos los efectos del impuesto sobre la renta, el impuesto al patrimonio y de su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Le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 xml:space="preserve">Cuando el contribuyente tome como base gravable el valor de mercado de los activos del exterior y dentro del año siguiente a la entrada en vigencia de esta norma repatríe </w:t>
      </w:r>
      <w:r w:rsidRPr="006F6B75">
        <w:rPr>
          <w:rFonts w:ascii="Times New Roman" w:eastAsia="Times New Roman" w:hAnsi="Times New Roman" w:cs="Times New Roman"/>
          <w:sz w:val="24"/>
          <w:szCs w:val="24"/>
          <w:lang w:eastAsia="es-CO"/>
        </w:rPr>
        <w:lastRenderedPageBreak/>
        <w:t>esos recursos a Colombia, la base gravable del impuesto de normalización corresponderá al 50% del valor de los activos omitidos.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45.</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Tarifa</w:t>
      </w:r>
      <w:r w:rsidRPr="006F6B75">
        <w:rPr>
          <w:rFonts w:ascii="Times New Roman" w:eastAsia="Times New Roman" w:hAnsi="Times New Roman" w:cs="Times New Roman"/>
          <w:sz w:val="24"/>
          <w:szCs w:val="24"/>
          <w:lang w:eastAsia="es-CO"/>
        </w:rPr>
        <w:t>. La tarifa del impuesto complementario de normalización tributaria será la del 13%. Cuando el contribuyente normalice activos en el exterior y los invierta con vocación de permanencia en el país, la base gravable del impuesto complementario de normalización tributaria será del 50%.</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inversiones con vocación de permanencia deberán realizarse antes del 31 de diciembre de 2019 y deben permanecer en el país por un período no inferior a dos años.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46.</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No habrá lugar a la comparación patrimonial ni a renta líquida gravable por concepto de declaración de activos omitidos o pasivos inexistentes. </w:t>
      </w:r>
      <w:r w:rsidRPr="006F6B75">
        <w:rPr>
          <w:rFonts w:ascii="Times New Roman" w:eastAsia="Times New Roman" w:hAnsi="Times New Roman" w:cs="Times New Roman"/>
          <w:sz w:val="24"/>
          <w:szCs w:val="24"/>
          <w:lang w:eastAsia="es-CO"/>
        </w:rPr>
        <w:t>Los activos del contribuyente que sean objeto del nuevo impuesto complementario de normalización tributaria deberán incluirse para efectos patrimoniales en la declaración del impuesto sobre la renta y complementarios del año gravable 2019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ni en el Impuesto sobre la Ventas (IVA), ni en materia del régimen de precios de transferencia ni en materia de información exógena.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Tampoco generará acción penal por la omisión de activos omitidos o pasivos inexistentes, que hayan quedado sujetos al nuevo impuesto complementario de normalización tributaria.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cambiaría.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47.</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No legalización. </w:t>
      </w:r>
      <w:r w:rsidRPr="006F6B75">
        <w:rPr>
          <w:rFonts w:ascii="Times New Roman" w:eastAsia="Times New Roman" w:hAnsi="Times New Roman" w:cs="Times New Roman"/>
          <w:sz w:val="24"/>
          <w:szCs w:val="24"/>
          <w:lang w:eastAsia="es-CO"/>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normalización de activos realizada en cualquier tiempo no dará lugar, en ningún caso, a la persecución fiscal o penal, a menos que se acredite el origen ilícito de los recursos por cualquiera de los delitos contemplados en el Código Penal.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Artículo 48.</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Saneamiento de activos. </w:t>
      </w:r>
      <w:r w:rsidRPr="006F6B75">
        <w:rPr>
          <w:rFonts w:ascii="Times New Roman" w:eastAsia="Times New Roman" w:hAnsi="Times New Roman" w:cs="Times New Roman"/>
          <w:sz w:val="24"/>
          <w:szCs w:val="24"/>
          <w:lang w:eastAsia="es-CO"/>
        </w:rPr>
        <w:t>Cuando los contribuyentes tengan declarados sus activos diferentes a inventarios por un valor inferior al de mercado, podrán actualizar su valor incluyendo las sumas adicionales como base gravable del impuesto de normalización.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49.</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Normas de procedimiento. </w:t>
      </w:r>
      <w:r w:rsidRPr="006F6B75">
        <w:rPr>
          <w:rFonts w:ascii="Times New Roman" w:eastAsia="Times New Roman" w:hAnsi="Times New Roman" w:cs="Times New Roman"/>
          <w:sz w:val="24"/>
          <w:szCs w:val="24"/>
          <w:lang w:eastAsia="es-CO"/>
        </w:rPr>
        <w:t>El nuevo impuesto complementario de normalización tributaria se somete a las normas sobre declaración, pago, administración y control contempladas en los artículos </w:t>
      </w:r>
      <w:hyperlink r:id="rId114" w:tooltip="Estatuto Tributario CETA" w:history="1">
        <w:r w:rsidRPr="006F6B75">
          <w:rPr>
            <w:rFonts w:ascii="Times New Roman" w:eastAsia="Times New Roman" w:hAnsi="Times New Roman" w:cs="Times New Roman"/>
            <w:sz w:val="24"/>
            <w:szCs w:val="24"/>
            <w:lang w:eastAsia="es-CO"/>
          </w:rPr>
          <w:t>298</w:t>
        </w:r>
      </w:hyperlink>
      <w:r w:rsidRPr="006F6B75">
        <w:rPr>
          <w:rFonts w:ascii="Times New Roman" w:eastAsia="Times New Roman" w:hAnsi="Times New Roman" w:cs="Times New Roman"/>
          <w:sz w:val="24"/>
          <w:szCs w:val="24"/>
          <w:lang w:eastAsia="es-CO"/>
        </w:rPr>
        <w:t>, </w:t>
      </w:r>
      <w:hyperlink r:id="rId115" w:tooltip="Estatuto Tributario CETA" w:history="1">
        <w:r w:rsidRPr="006F6B75">
          <w:rPr>
            <w:rFonts w:ascii="Times New Roman" w:eastAsia="Times New Roman" w:hAnsi="Times New Roman" w:cs="Times New Roman"/>
            <w:sz w:val="24"/>
            <w:szCs w:val="24"/>
            <w:lang w:eastAsia="es-CO"/>
          </w:rPr>
          <w:t>298-1</w:t>
        </w:r>
      </w:hyperlink>
      <w:r w:rsidRPr="006F6B75">
        <w:rPr>
          <w:rFonts w:ascii="Times New Roman" w:eastAsia="Times New Roman" w:hAnsi="Times New Roman" w:cs="Times New Roman"/>
          <w:sz w:val="24"/>
          <w:szCs w:val="24"/>
          <w:lang w:eastAsia="es-CO"/>
        </w:rPr>
        <w:t>, </w:t>
      </w:r>
      <w:hyperlink r:id="rId116" w:tooltip="Estatuto Tributario CETA" w:history="1">
        <w:r w:rsidRPr="006F6B75">
          <w:rPr>
            <w:rFonts w:ascii="Times New Roman" w:eastAsia="Times New Roman" w:hAnsi="Times New Roman" w:cs="Times New Roman"/>
            <w:sz w:val="24"/>
            <w:szCs w:val="24"/>
            <w:lang w:eastAsia="es-CO"/>
          </w:rPr>
          <w:t>298-2</w:t>
        </w:r>
      </w:hyperlink>
      <w:r w:rsidRPr="006F6B75">
        <w:rPr>
          <w:rFonts w:ascii="Times New Roman" w:eastAsia="Times New Roman" w:hAnsi="Times New Roman" w:cs="Times New Roman"/>
          <w:sz w:val="24"/>
          <w:szCs w:val="24"/>
          <w:lang w:eastAsia="es-CO"/>
        </w:rPr>
        <w:t> y demás disposiciones concordantes de este Estatuto. Para todos los contribuyentes, la declaración del impuesto de normalización tributaria se presentará el 25 de septiembre de 2019 y no permite corrección o presentación extemporánea.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w:t>
      </w:r>
      <w:hyperlink r:id="rId117" w:tooltip="Estatuto Tributario CETA" w:history="1">
        <w:r w:rsidRPr="006F6B75">
          <w:rPr>
            <w:rFonts w:ascii="Times New Roman" w:eastAsia="Times New Roman" w:hAnsi="Times New Roman" w:cs="Times New Roman"/>
            <w:sz w:val="24"/>
            <w:szCs w:val="24"/>
            <w:lang w:eastAsia="es-CO"/>
          </w:rPr>
          <w:t>artículo 869</w:t>
        </w:r>
      </w:hyperlink>
      <w:r w:rsidRPr="006F6B75">
        <w:rPr>
          <w:rFonts w:ascii="Times New Roman" w:eastAsia="Times New Roman" w:hAnsi="Times New Roman" w:cs="Times New Roman"/>
          <w:sz w:val="24"/>
          <w:szCs w:val="24"/>
          <w:lang w:eastAsia="es-CO"/>
        </w:rPr>
        <w:t> y siguientes del Estatuto Tributario.</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III</w:t>
      </w:r>
    </w:p>
    <w:p w:rsidR="00296598" w:rsidRPr="006F6B75" w:rsidRDefault="007C3245"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Impuesto a los dividen</w:t>
      </w:r>
      <w:r w:rsidR="00296598" w:rsidRPr="006F6B75">
        <w:rPr>
          <w:rFonts w:ascii="Times New Roman" w:eastAsia="Times New Roman" w:hAnsi="Times New Roman" w:cs="Times New Roman"/>
          <w:b/>
          <w:bCs/>
          <w:sz w:val="24"/>
          <w:szCs w:val="24"/>
          <w:lang w:eastAsia="es-CO"/>
        </w:rPr>
        <w:t>dos para sociedades nacionales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50.</w:t>
      </w:r>
      <w:r w:rsidRPr="006F6B75">
        <w:rPr>
          <w:rFonts w:ascii="Times New Roman" w:eastAsia="Times New Roman" w:hAnsi="Times New Roman" w:cs="Times New Roman"/>
          <w:sz w:val="24"/>
          <w:szCs w:val="24"/>
          <w:lang w:eastAsia="es-CO"/>
        </w:rPr>
        <w:t> Adiciónese el artículo 242-1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242-1. </w:t>
      </w:r>
      <w:r w:rsidRPr="006F6B75">
        <w:rPr>
          <w:rFonts w:ascii="Times New Roman" w:eastAsia="Times New Roman" w:hAnsi="Times New Roman" w:cs="Times New Roman"/>
          <w:b/>
          <w:bCs/>
          <w:i/>
          <w:iCs/>
          <w:sz w:val="24"/>
          <w:szCs w:val="24"/>
          <w:lang w:eastAsia="es-CO"/>
        </w:rPr>
        <w:t>Tarifa especial para dividendos o participaciones recibidas por sociedades nacionales. </w:t>
      </w:r>
      <w:r w:rsidRPr="006F6B75">
        <w:rPr>
          <w:rFonts w:ascii="Times New Roman" w:eastAsia="Times New Roman" w:hAnsi="Times New Roman" w:cs="Times New Roman"/>
          <w:sz w:val="24"/>
          <w:szCs w:val="24"/>
          <w:lang w:eastAsia="es-CO"/>
        </w:rPr>
        <w:t>Los dividendos y participaciones pagados o abonados en cuenta a sociedades nacionales, provenientes de distribución de utilidades que hubieren sido consideradas como ingreso no constitutivo de renta ni ganancia ocasional, conforme a lo dispuesto en el numeral 3 del </w:t>
      </w:r>
      <w:hyperlink r:id="rId118" w:tooltip="Estatuto Tributario CETA" w:history="1">
        <w:r w:rsidRPr="006F6B75">
          <w:rPr>
            <w:rFonts w:ascii="Times New Roman" w:eastAsia="Times New Roman" w:hAnsi="Times New Roman" w:cs="Times New Roman"/>
            <w:sz w:val="24"/>
            <w:szCs w:val="24"/>
            <w:lang w:eastAsia="es-CO"/>
          </w:rPr>
          <w:t>artículo 49</w:t>
        </w:r>
      </w:hyperlink>
      <w:r w:rsidRPr="006F6B75">
        <w:rPr>
          <w:rFonts w:ascii="Times New Roman" w:eastAsia="Times New Roman" w:hAnsi="Times New Roman" w:cs="Times New Roman"/>
          <w:sz w:val="24"/>
          <w:szCs w:val="24"/>
          <w:lang w:eastAsia="es-CO"/>
        </w:rPr>
        <w:t> de este Estatuto, estarán sujetas a la tarifa del siete y medio por ciento (7,5%) a título de retención en la fuente sobre la renta, que será trasladable e imputable a la persona natural residente o inversionista residente en el exterior.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BE7A10">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dividendos y participaciones pagados o abonados en cuenta a sociedades nacionales, provenientes de distribuciones de utilidades gravadas conforme a lo dispuesto en el parágrafo 2° del artículo 49, estarán sujetos a la tarifa señalada en el </w:t>
      </w:r>
      <w:hyperlink r:id="rId119" w:tooltip="Estatuto Tributario CETA" w:history="1">
        <w:r w:rsidRPr="006F6B75">
          <w:rPr>
            <w:rFonts w:ascii="Times New Roman" w:eastAsia="Times New Roman" w:hAnsi="Times New Roman" w:cs="Times New Roman"/>
            <w:sz w:val="24"/>
            <w:szCs w:val="24"/>
            <w:lang w:eastAsia="es-CO"/>
          </w:rPr>
          <w:t>artículo 240</w:t>
        </w:r>
      </w:hyperlink>
      <w:r w:rsidR="00BE7A10" w:rsidRPr="006F6B75">
        <w:rPr>
          <w:rFonts w:ascii="Times New Roman" w:eastAsia="Times New Roman" w:hAnsi="Times New Roman" w:cs="Times New Roman"/>
          <w:sz w:val="24"/>
          <w:szCs w:val="24"/>
          <w:lang w:eastAsia="es-CO"/>
        </w:rPr>
        <w:t xml:space="preserve"> </w:t>
      </w:r>
      <w:r w:rsidRPr="006F6B75">
        <w:rPr>
          <w:rFonts w:ascii="Times New Roman" w:eastAsia="Times New Roman" w:hAnsi="Times New Roman" w:cs="Times New Roman"/>
          <w:sz w:val="24"/>
          <w:szCs w:val="24"/>
          <w:lang w:eastAsia="es-CO"/>
        </w:rPr>
        <w:t>del Estatuto Tributario, según el período gravable en que se paguen o abonen en cuenta, caso en el cual la retención en la fuente señalada en el inciso anterior se aplicará una vez disminuido este impuesto. A esta misma tarifa estarán gravados los dividendos y participaciones recibidos de sociedades y entidades extranjeras.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 retención en la fuente será calculada sobre el valor bruto de los pagos o abonos en cuenta por concepto de dividendos o participaciones.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retención en la fuente a la que se refiere este artículo solo se practica en la sociedad nacional que reciba los dividendos por primera vez, y el crédito será trasladable hasta el beneficiario final persona natural residente o inversionista residente en el exterior.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Las sociedades bajo el régimen CHC del impuesto sobre la renta, incluyendo las entidades públicas descentralizadas, no están sujetas a la retención en la fuente sobre los dividendos distribuidos por sociedades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dividendos que se distribuyan dentro de los grupos empresariales debidamente registrados ante la Cámara de Comercio, no estarán sujetos a la retención en la fuente regulada en este artículo. Lo anterior, siempre y cuando no se trate de una entidad intermedia dispuesta para el diferimiento del impuesto sobre los dividendos.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51.</w:t>
      </w:r>
      <w:r w:rsidRPr="006F6B75">
        <w:rPr>
          <w:rFonts w:ascii="Times New Roman" w:eastAsia="Times New Roman" w:hAnsi="Times New Roman" w:cs="Times New Roman"/>
          <w:sz w:val="24"/>
          <w:szCs w:val="24"/>
          <w:lang w:eastAsia="es-CO"/>
        </w:rPr>
        <w:t> Modifíquese el </w:t>
      </w:r>
      <w:hyperlink r:id="rId120" w:tooltip="Estatuto Tributario CETA" w:history="1">
        <w:r w:rsidRPr="006F6B75">
          <w:rPr>
            <w:rFonts w:ascii="Times New Roman" w:eastAsia="Times New Roman" w:hAnsi="Times New Roman" w:cs="Times New Roman"/>
            <w:sz w:val="24"/>
            <w:szCs w:val="24"/>
            <w:lang w:eastAsia="es-CO"/>
          </w:rPr>
          <w:t>artículo 245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21" w:tooltip="Estatuto Tributario CETA" w:history="1">
        <w:r w:rsidR="00296598" w:rsidRPr="006F6B75">
          <w:rPr>
            <w:rFonts w:ascii="Times New Roman" w:eastAsia="Times New Roman" w:hAnsi="Times New Roman" w:cs="Times New Roman"/>
            <w:b/>
            <w:bCs/>
            <w:sz w:val="24"/>
            <w:szCs w:val="24"/>
            <w:lang w:eastAsia="es-CO"/>
          </w:rPr>
          <w:t>Artículo 245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Tarifa especial para dividendos o participaciones recibidos por sociedades y entidades extranjeras y por personas naturales no residentes. </w:t>
      </w:r>
      <w:r w:rsidR="00296598" w:rsidRPr="006F6B75">
        <w:rPr>
          <w:rFonts w:ascii="Times New Roman" w:eastAsia="Times New Roman" w:hAnsi="Times New Roman" w:cs="Times New Roman"/>
          <w:sz w:val="24"/>
          <w:szCs w:val="24"/>
          <w:lang w:eastAsia="es-CO"/>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siente punto cinco por ciento (7,5%).</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Cuando los dividendos o participaciones correspondan a utilidades, que de haberse distribuido a una sociedad nacional hubieren estado gravadas, conforme a las reglas de los artículos </w:t>
      </w:r>
      <w:hyperlink r:id="rId122" w:tooltip="Estatuto Tributario CETA" w:history="1">
        <w:r w:rsidRPr="006F6B75">
          <w:rPr>
            <w:rFonts w:ascii="Times New Roman" w:eastAsia="Times New Roman" w:hAnsi="Times New Roman" w:cs="Times New Roman"/>
            <w:sz w:val="24"/>
            <w:szCs w:val="24"/>
            <w:lang w:eastAsia="es-CO"/>
          </w:rPr>
          <w:t>48</w:t>
        </w:r>
      </w:hyperlink>
      <w:r w:rsidRPr="006F6B75">
        <w:rPr>
          <w:rFonts w:ascii="Times New Roman" w:eastAsia="Times New Roman" w:hAnsi="Times New Roman" w:cs="Times New Roman"/>
          <w:sz w:val="24"/>
          <w:szCs w:val="24"/>
          <w:lang w:eastAsia="es-CO"/>
        </w:rPr>
        <w:t> y </w:t>
      </w:r>
      <w:hyperlink r:id="rId123" w:tooltip="Estatuto Tributario CETA" w:history="1">
        <w:r w:rsidRPr="006F6B75">
          <w:rPr>
            <w:rFonts w:ascii="Times New Roman" w:eastAsia="Times New Roman" w:hAnsi="Times New Roman" w:cs="Times New Roman"/>
            <w:sz w:val="24"/>
            <w:szCs w:val="24"/>
            <w:lang w:eastAsia="es-CO"/>
          </w:rPr>
          <w:t>49</w:t>
        </w:r>
      </w:hyperlink>
      <w:r w:rsidRPr="006F6B75">
        <w:rPr>
          <w:rFonts w:ascii="Times New Roman" w:eastAsia="Times New Roman" w:hAnsi="Times New Roman" w:cs="Times New Roman"/>
          <w:sz w:val="24"/>
          <w:szCs w:val="24"/>
          <w:lang w:eastAsia="es-CO"/>
        </w:rPr>
        <w:t> estarán sometidos a la tarifa señalada en el </w:t>
      </w:r>
      <w:hyperlink r:id="rId124" w:tooltip="Estatuto Tributario CETA" w:history="1">
        <w:r w:rsidRPr="006F6B75">
          <w:rPr>
            <w:rFonts w:ascii="Times New Roman" w:eastAsia="Times New Roman" w:hAnsi="Times New Roman" w:cs="Times New Roman"/>
            <w:sz w:val="24"/>
            <w:szCs w:val="24"/>
            <w:lang w:eastAsia="es-CO"/>
          </w:rPr>
          <w:t>artículo 240</w:t>
        </w:r>
      </w:hyperlink>
      <w:r w:rsidRPr="006F6B75">
        <w:rPr>
          <w:rFonts w:ascii="Times New Roman" w:eastAsia="Times New Roman" w:hAnsi="Times New Roman" w:cs="Times New Roman"/>
          <w:sz w:val="24"/>
          <w:szCs w:val="24"/>
          <w:lang w:eastAsia="es-CO"/>
        </w:rPr>
        <w:t>, según el período gravable en que se paguen o abonen en cuenta, caso en el cual el impuesto señalado en el inciso anterior, se aplicará una vez disminuido este impuesto.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impuesto de que trata este artículo será retenido en la fuente, sobre el valor bruto de los pagos o abonos en cuenta por concepto de dividendos o participaciones.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52.</w:t>
      </w:r>
      <w:r w:rsidRPr="006F6B75">
        <w:rPr>
          <w:rFonts w:ascii="Times New Roman" w:eastAsia="Times New Roman" w:hAnsi="Times New Roman" w:cs="Times New Roman"/>
          <w:sz w:val="24"/>
          <w:szCs w:val="24"/>
          <w:lang w:eastAsia="es-CO"/>
        </w:rPr>
        <w:t> Modifíquese el </w:t>
      </w:r>
      <w:hyperlink r:id="rId125" w:tooltip="Estatuto Tributario CETA" w:history="1">
        <w:r w:rsidRPr="006F6B75">
          <w:rPr>
            <w:rFonts w:ascii="Times New Roman" w:eastAsia="Times New Roman" w:hAnsi="Times New Roman" w:cs="Times New Roman"/>
            <w:sz w:val="24"/>
            <w:szCs w:val="24"/>
            <w:lang w:eastAsia="es-CO"/>
          </w:rPr>
          <w:t>artículo 246</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26" w:tooltip="Estatuto Tributario CETA" w:history="1">
        <w:r w:rsidR="00296598" w:rsidRPr="006F6B75">
          <w:rPr>
            <w:rFonts w:ascii="Times New Roman" w:eastAsia="Times New Roman" w:hAnsi="Times New Roman" w:cs="Times New Roman"/>
            <w:b/>
            <w:bCs/>
            <w:sz w:val="24"/>
            <w:szCs w:val="24"/>
            <w:lang w:eastAsia="es-CO"/>
          </w:rPr>
          <w:t>Artículo 246</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Tarifa especial para dividendos y participaciones recibidos por establecimientos permanentes de sociedades extranjeras. </w:t>
      </w:r>
      <w:r w:rsidR="00296598" w:rsidRPr="006F6B75">
        <w:rPr>
          <w:rFonts w:ascii="Times New Roman" w:eastAsia="Times New Roman" w:hAnsi="Times New Roman" w:cs="Times New Roman"/>
          <w:sz w:val="24"/>
          <w:szCs w:val="24"/>
          <w:lang w:eastAsia="es-CO"/>
        </w:rPr>
        <w:t>La tarifa del impuesto sobre la renta aplicable a los dividendos y participaciones que se paguen o abonen en cuenta a establecimientos permanentes en Colombia de sociedades extranjeras será del siete punto cinco por ciento (7,5%), cuando provengan de utilidades que hayan sido distribuidas a título de ingreso no constitutivo de renta ni ganancia ocasional.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estos dividendos provengan de utilidades que no sean susceptibles de ser distribuidas a título de ingreso no constitutivo de renta ni ganancia ocasional, estarán gravados a la tarifa señalada en el </w:t>
      </w:r>
      <w:hyperlink r:id="rId127" w:tooltip="Estatuto Tributario CETA" w:history="1">
        <w:r w:rsidRPr="006F6B75">
          <w:rPr>
            <w:rFonts w:ascii="Times New Roman" w:eastAsia="Times New Roman" w:hAnsi="Times New Roman" w:cs="Times New Roman"/>
            <w:sz w:val="24"/>
            <w:szCs w:val="24"/>
            <w:lang w:eastAsia="es-CO"/>
          </w:rPr>
          <w:t>artículo 240</w:t>
        </w:r>
      </w:hyperlink>
      <w:r w:rsidRPr="006F6B75">
        <w:rPr>
          <w:rFonts w:ascii="Times New Roman" w:eastAsia="Times New Roman" w:hAnsi="Times New Roman" w:cs="Times New Roman"/>
          <w:sz w:val="24"/>
          <w:szCs w:val="24"/>
          <w:lang w:eastAsia="es-CO"/>
        </w:rPr>
        <w:t>, según el período gravable en que se paguen o abonen en cuenta, caso en el cual el impuesto señalado en el inciso anterior, se aplicará una vez disminuido este impuesto.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cualquier caso, el impuesto será retenido en la fuente en el momento del pago o abono en cuenta.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TÍTULO IV</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MEDIDAS PARA COMBATIR LA EVASIÓN Y EL ABUSO EN MATERIA TRIBUTARIA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Impuesto sobre la renta y complementarios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53.</w:t>
      </w:r>
      <w:r w:rsidRPr="006F6B75">
        <w:rPr>
          <w:rFonts w:ascii="Times New Roman" w:eastAsia="Times New Roman" w:hAnsi="Times New Roman" w:cs="Times New Roman"/>
          <w:sz w:val="24"/>
          <w:szCs w:val="24"/>
          <w:lang w:eastAsia="es-CO"/>
        </w:rPr>
        <w:t> Modifíquese el </w:t>
      </w:r>
      <w:hyperlink r:id="rId128" w:tooltip="Estatuto Tributario CETA" w:history="1">
        <w:r w:rsidRPr="006F6B75">
          <w:rPr>
            <w:rFonts w:ascii="Times New Roman" w:eastAsia="Times New Roman" w:hAnsi="Times New Roman" w:cs="Times New Roman"/>
            <w:sz w:val="24"/>
            <w:szCs w:val="24"/>
            <w:lang w:eastAsia="es-CO"/>
          </w:rPr>
          <w:t>artículo 90</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29" w:tooltip="Estatuto Tributario CETA" w:history="1">
        <w:r w:rsidR="00296598" w:rsidRPr="006F6B75">
          <w:rPr>
            <w:rFonts w:ascii="Times New Roman" w:eastAsia="Times New Roman" w:hAnsi="Times New Roman" w:cs="Times New Roman"/>
            <w:b/>
            <w:bCs/>
            <w:sz w:val="24"/>
            <w:szCs w:val="24"/>
            <w:lang w:eastAsia="es-CO"/>
          </w:rPr>
          <w:t>Artículo 90</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Determinación de la renta bruta en la enajenación de activos y valor comercial en operaciones sobre bienes y servicios. </w:t>
      </w:r>
      <w:r w:rsidR="00296598" w:rsidRPr="006F6B75">
        <w:rPr>
          <w:rFonts w:ascii="Times New Roman" w:eastAsia="Times New Roman" w:hAnsi="Times New Roman" w:cs="Times New Roman"/>
          <w:sz w:val="24"/>
          <w:szCs w:val="24"/>
          <w:lang w:eastAsia="es-CO"/>
        </w:rPr>
        <w:t>La renta bruta o la pérdida proveniente de la enajenación de activos a cualquier título, está constituida por la diferencia entre el precio de la enajenación y el costo del activo o activos enajenados.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precio de la enajenación es el valor comercial realizado en dinero o en especie. Para estos efectos será parte del precio el valor comercial de las especies recibidas.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Se tiene por valor comercial el señalado por las partes, el cual deberá corresponder al precio comercial promedio para bienes de la misma especie, en la fecha de su enajenación. Esta previsión también resulta aplicable a los servicios.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En el caso de bienes raíces, además de lo previsto en esta disposición, no se aceptará un precio inferior al costo, al avalúo catastral ni al </w:t>
      </w:r>
      <w:proofErr w:type="spellStart"/>
      <w:r w:rsidRPr="006F6B75">
        <w:rPr>
          <w:rFonts w:ascii="Times New Roman" w:eastAsia="Times New Roman" w:hAnsi="Times New Roman" w:cs="Times New Roman"/>
          <w:sz w:val="24"/>
          <w:szCs w:val="24"/>
          <w:lang w:eastAsia="es-CO"/>
        </w:rPr>
        <w:t>autoavalúo</w:t>
      </w:r>
      <w:proofErr w:type="spellEnd"/>
      <w:r w:rsidRPr="006F6B75">
        <w:rPr>
          <w:rFonts w:ascii="Times New Roman" w:eastAsia="Times New Roman" w:hAnsi="Times New Roman" w:cs="Times New Roman"/>
          <w:sz w:val="24"/>
          <w:szCs w:val="24"/>
          <w:lang w:eastAsia="es-CO"/>
        </w:rPr>
        <w:t>,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partir del 1° de enero de 2019, no serán constitutivos de costo de los bienes raíces aquellas sumas que no se hayan desembolsado a través de entidades financieras.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Se entiende que el valor asignado por las partes difiere notoriamente del promedio vigente, cuando se aparte en más de un quince por ciento (15%) de los precios establecidos en el comercio para los bienes o servicios de la misma especie y calidad, en la fecha de enajenación o prestación, teniendo en cuenta la naturaleza, condiciones y estado de los activos y servicios.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54.</w:t>
      </w:r>
      <w:r w:rsidRPr="006F6B75">
        <w:rPr>
          <w:rFonts w:ascii="Times New Roman" w:eastAsia="Times New Roman" w:hAnsi="Times New Roman" w:cs="Times New Roman"/>
          <w:sz w:val="24"/>
          <w:szCs w:val="24"/>
          <w:lang w:eastAsia="es-CO"/>
        </w:rPr>
        <w:t> Adiciónese el artículo 90-3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90-3. </w:t>
      </w:r>
      <w:r w:rsidRPr="006F6B75">
        <w:rPr>
          <w:rFonts w:ascii="Times New Roman" w:eastAsia="Times New Roman" w:hAnsi="Times New Roman" w:cs="Times New Roman"/>
          <w:b/>
          <w:bCs/>
          <w:i/>
          <w:iCs/>
          <w:sz w:val="24"/>
          <w:szCs w:val="24"/>
          <w:lang w:eastAsia="es-CO"/>
        </w:rPr>
        <w:t>Enajenaciones indirectas. </w:t>
      </w:r>
      <w:r w:rsidRPr="006F6B75">
        <w:rPr>
          <w:rFonts w:ascii="Times New Roman" w:eastAsia="Times New Roman" w:hAnsi="Times New Roman" w:cs="Times New Roman"/>
          <w:sz w:val="24"/>
          <w:szCs w:val="24"/>
          <w:lang w:eastAsia="es-CO"/>
        </w:rPr>
        <w:t>La enajenación indirecta de acciones en sociedades, derechos o activos ubicados en el territorio nacional, mediante la enajenación, a cualquier título, de 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debe corresponder a su valor comercial de conformidad con 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Se entiende por transferencia indirecta, la enajenación de un derecho de participación en un activo en su totalidad o en parte, ya sea que dicha transferencia se realice entre partes relacionadas o independientes.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el primer punto de contacto en Colombia sea una sociedad nacional, se entenderá que el activo subyacente son las acciones, participaciones o derechos en dicha sociedad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 dispuesto en este artículo no se aplicará cuando las acciones o derechos que se enajenen se encuentren inscritos en una Bolsa de Valores reconocida por una autoridad gubernamental, que cuente con un mercado secundario activo, y cuando las acciones no estén concentradas en un mismo beneficiario real en más de un veinte por ciento (20%).</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término de tenencia que permite determinar si la transferencia se encuentra gravada con el impuesto sobre la renta o ganancia ocasional será aquel que tenga el accionista, socio o partícipe en la entidad tenedora de los activos subyacentes ubicados en territorio colombiano.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55.</w:t>
      </w:r>
      <w:r w:rsidRPr="006F6B75">
        <w:rPr>
          <w:rFonts w:ascii="Times New Roman" w:eastAsia="Times New Roman" w:hAnsi="Times New Roman" w:cs="Times New Roman"/>
          <w:sz w:val="24"/>
          <w:szCs w:val="24"/>
          <w:lang w:eastAsia="es-CO"/>
        </w:rPr>
        <w:t> Modifíquese el </w:t>
      </w:r>
      <w:hyperlink r:id="rId130" w:tooltip="Estatuto Tributario CETA" w:history="1">
        <w:r w:rsidRPr="006F6B75">
          <w:rPr>
            <w:rFonts w:ascii="Times New Roman" w:eastAsia="Times New Roman" w:hAnsi="Times New Roman" w:cs="Times New Roman"/>
            <w:sz w:val="24"/>
            <w:szCs w:val="24"/>
            <w:lang w:eastAsia="es-CO"/>
          </w:rPr>
          <w:t>artículo 118-1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31" w:tooltip="Estatuto Tributario CETA" w:history="1">
        <w:r w:rsidR="00296598" w:rsidRPr="006F6B75">
          <w:rPr>
            <w:rFonts w:ascii="Times New Roman" w:eastAsia="Times New Roman" w:hAnsi="Times New Roman" w:cs="Times New Roman"/>
            <w:b/>
            <w:bCs/>
            <w:sz w:val="24"/>
            <w:szCs w:val="24"/>
            <w:lang w:eastAsia="es-CO"/>
          </w:rPr>
          <w:t>Artículo 118-1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Subcapitalización</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Son deducibles, siempre y cuando cumplan con los requisitos previstos en la ley, los intereses por deudas durante el respectivo período gravable.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Sin perjuicio de los demás requisitos y condiciones consagrados en este Estatuto para la procedencia de la deducción, cuando las deudas que generan intereses sean contraídas, directa o indirectamente, a favor de vinculados económicos nacionales o extranjeros, los contribuyentes del impuesto sobre la renta y complementarios solo podrán deducir los intereses generados con ocasión de tales deudas en cuanto el monto total promedio de las mismas, durante el correspondiente año gravable, no exceda el resultado de multiplicar por </w:t>
      </w:r>
      <w:r w:rsidRPr="006F6B75">
        <w:rPr>
          <w:rFonts w:ascii="Times New Roman" w:eastAsia="Times New Roman" w:hAnsi="Times New Roman" w:cs="Times New Roman"/>
          <w:sz w:val="24"/>
          <w:szCs w:val="24"/>
          <w:lang w:eastAsia="es-CO"/>
        </w:rPr>
        <w:lastRenderedPageBreak/>
        <w:t>dos (2) el patrimonio líquido del contribuyente determinado a 31 de diciembre del año gravable inmediatamente anterior.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virtud de lo dispuesto en el inciso anterior, no será deducible la proporción de los intereses que exceda el límite a que se refiere este artículo.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back-to-back,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Las deudas que se tendrán en cuenta para efectos del cálculo de la proporción a la que se refiere el inciso segundo son las deudas que generen intereses e incluyen aquellas que se hayan contraído con vinculados económicos por conducto de intermediarios no vinculados del exterior o que se encuentren en el país.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 xml:space="preserve">Lo dispuesto en el inciso segundo de este artículo y en los parágrafos primero y segundo no se aplicará a los contribuyentes del impuesto sobre la renta y complementarios que estén sometidos a inspección y vigilancia de la Superintendencia Financiera de Colombia, ni a los que realicen actividades de </w:t>
      </w:r>
      <w:proofErr w:type="spellStart"/>
      <w:r w:rsidRPr="006F6B75">
        <w:rPr>
          <w:rFonts w:ascii="Times New Roman" w:eastAsia="Times New Roman" w:hAnsi="Times New Roman" w:cs="Times New Roman"/>
          <w:sz w:val="24"/>
          <w:szCs w:val="24"/>
          <w:lang w:eastAsia="es-CO"/>
        </w:rPr>
        <w:t>factoring</w:t>
      </w:r>
      <w:proofErr w:type="spellEnd"/>
      <w:r w:rsidRPr="006F6B75">
        <w:rPr>
          <w:rFonts w:ascii="Times New Roman" w:eastAsia="Times New Roman" w:hAnsi="Times New Roman" w:cs="Times New Roman"/>
          <w:sz w:val="24"/>
          <w:szCs w:val="24"/>
          <w:lang w:eastAsia="es-CO"/>
        </w:rPr>
        <w:t xml:space="preserve">, en los términos del Decreto 2669 de 2012, y siempre y cuando las actividades de la compañía de </w:t>
      </w:r>
      <w:proofErr w:type="spellStart"/>
      <w:r w:rsidRPr="006F6B75">
        <w:rPr>
          <w:rFonts w:ascii="Times New Roman" w:eastAsia="Times New Roman" w:hAnsi="Times New Roman" w:cs="Times New Roman"/>
          <w:sz w:val="24"/>
          <w:szCs w:val="24"/>
          <w:lang w:eastAsia="es-CO"/>
        </w:rPr>
        <w:t>factoring</w:t>
      </w:r>
      <w:proofErr w:type="spellEnd"/>
      <w:r w:rsidRPr="006F6B75">
        <w:rPr>
          <w:rFonts w:ascii="Times New Roman" w:eastAsia="Times New Roman" w:hAnsi="Times New Roman" w:cs="Times New Roman"/>
          <w:sz w:val="24"/>
          <w:szCs w:val="24"/>
          <w:lang w:eastAsia="es-CO"/>
        </w:rPr>
        <w:t xml:space="preserve"> no sean prestadas en más de un 50% a compañías con vinculación económica, en los términos del </w:t>
      </w:r>
      <w:hyperlink r:id="rId132" w:tooltip="Estatuto Tributario CETA" w:history="1">
        <w:r w:rsidRPr="006F6B75">
          <w:rPr>
            <w:rFonts w:ascii="Times New Roman" w:eastAsia="Times New Roman" w:hAnsi="Times New Roman" w:cs="Times New Roman"/>
            <w:sz w:val="24"/>
            <w:szCs w:val="24"/>
            <w:lang w:eastAsia="es-CO"/>
          </w:rPr>
          <w:t>artículo 260-1</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 dispuesto en el inciso segundo de este artículo y en los parágrafos primero y segundo no se aplicará a las personas naturales o jurídicas, contribuyentes del impuesto sobre la renta y complementarios, que desarrollen empresas en período improductivo. Para estos efectos, se tendrán en cuenta las disposiciones consagradas en los artículos 1.2.1.19.6 al 1.2.1.19.14 del Decreto 1625 de 2016 o las disposiciones que los modifiquen o sustituyan.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 dispuesto en este artículo no se aplicará a los casos de financiación de proyectos de infraestructura de transporte, ni a la financiación de proyectos de infraestructura de servicios públicos, siempre que dichos proyectos se encuentren a cargo de sociedades, entidades o vehículos de propósito especial.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56.</w:t>
      </w:r>
      <w:r w:rsidRPr="006F6B75">
        <w:rPr>
          <w:rFonts w:ascii="Times New Roman" w:eastAsia="Times New Roman" w:hAnsi="Times New Roman" w:cs="Times New Roman"/>
          <w:sz w:val="24"/>
          <w:szCs w:val="24"/>
          <w:lang w:eastAsia="es-CO"/>
        </w:rPr>
        <w:t> Adiciónese el literal c) al </w:t>
      </w:r>
      <w:hyperlink r:id="rId133" w:tooltip="Estatuto Tributario CETA" w:history="1">
        <w:r w:rsidRPr="006F6B75">
          <w:rPr>
            <w:rFonts w:ascii="Times New Roman" w:eastAsia="Times New Roman" w:hAnsi="Times New Roman" w:cs="Times New Roman"/>
            <w:sz w:val="24"/>
            <w:szCs w:val="24"/>
            <w:lang w:eastAsia="es-CO"/>
          </w:rPr>
          <w:t>artículo 124-1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Los intereses y demás costos o gastos financieros atribuidos a un establecimiento permanente en Colombia, que se hayan sometido a retención en la fuente.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57.</w:t>
      </w:r>
      <w:r w:rsidRPr="006F6B75">
        <w:rPr>
          <w:rFonts w:ascii="Times New Roman" w:eastAsia="Times New Roman" w:hAnsi="Times New Roman" w:cs="Times New Roman"/>
          <w:sz w:val="24"/>
          <w:szCs w:val="24"/>
          <w:lang w:eastAsia="es-CO"/>
        </w:rPr>
        <w:t> Adiciónese un parágrafo al </w:t>
      </w:r>
      <w:hyperlink r:id="rId134" w:tooltip="Estatuto Tributario CETA" w:history="1">
        <w:r w:rsidRPr="006F6B75">
          <w:rPr>
            <w:rFonts w:ascii="Times New Roman" w:eastAsia="Times New Roman" w:hAnsi="Times New Roman" w:cs="Times New Roman"/>
            <w:sz w:val="24"/>
            <w:szCs w:val="24"/>
            <w:lang w:eastAsia="es-CO"/>
          </w:rPr>
          <w:t>artículo 401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II</w:t>
      </w:r>
    </w:p>
    <w:p w:rsidR="001E05CD" w:rsidRPr="006F6B75" w:rsidRDefault="001E05CD" w:rsidP="00296598">
      <w:pPr>
        <w:spacing w:after="0" w:line="240" w:lineRule="auto"/>
        <w:jc w:val="center"/>
        <w:rPr>
          <w:rFonts w:ascii="Times New Roman" w:eastAsia="Times New Roman" w:hAnsi="Times New Roman" w:cs="Times New Roman"/>
          <w:b/>
          <w:bCs/>
          <w:sz w:val="24"/>
          <w:szCs w:val="24"/>
          <w:lang w:eastAsia="es-CO"/>
        </w:rPr>
      </w:pP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Establecimientos permanentes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58.</w:t>
      </w:r>
      <w:r w:rsidRPr="006F6B75">
        <w:rPr>
          <w:rFonts w:ascii="Times New Roman" w:eastAsia="Times New Roman" w:hAnsi="Times New Roman" w:cs="Times New Roman"/>
          <w:sz w:val="24"/>
          <w:szCs w:val="24"/>
          <w:lang w:eastAsia="es-CO"/>
        </w:rPr>
        <w:t> Para efectos de lo establecido en los artículos </w:t>
      </w:r>
      <w:hyperlink r:id="rId135" w:tooltip="Estatuto Tributario CETA" w:history="1">
        <w:r w:rsidRPr="006F6B75">
          <w:rPr>
            <w:rFonts w:ascii="Times New Roman" w:eastAsia="Times New Roman" w:hAnsi="Times New Roman" w:cs="Times New Roman"/>
            <w:sz w:val="24"/>
            <w:szCs w:val="24"/>
            <w:lang w:eastAsia="es-CO"/>
          </w:rPr>
          <w:t>20</w:t>
        </w:r>
      </w:hyperlink>
      <w:r w:rsidRPr="006F6B75">
        <w:rPr>
          <w:rFonts w:ascii="Times New Roman" w:eastAsia="Times New Roman" w:hAnsi="Times New Roman" w:cs="Times New Roman"/>
          <w:sz w:val="24"/>
          <w:szCs w:val="24"/>
          <w:lang w:eastAsia="es-CO"/>
        </w:rPr>
        <w:t>, </w:t>
      </w:r>
      <w:hyperlink r:id="rId136" w:tooltip="Estatuto Tributario CETA" w:history="1">
        <w:r w:rsidRPr="006F6B75">
          <w:rPr>
            <w:rFonts w:ascii="Times New Roman" w:eastAsia="Times New Roman" w:hAnsi="Times New Roman" w:cs="Times New Roman"/>
            <w:sz w:val="24"/>
            <w:szCs w:val="24"/>
            <w:lang w:eastAsia="es-CO"/>
          </w:rPr>
          <w:t>20-1</w:t>
        </w:r>
      </w:hyperlink>
      <w:r w:rsidRPr="006F6B75">
        <w:rPr>
          <w:rFonts w:ascii="Times New Roman" w:eastAsia="Times New Roman" w:hAnsi="Times New Roman" w:cs="Times New Roman"/>
          <w:sz w:val="24"/>
          <w:szCs w:val="24"/>
          <w:lang w:eastAsia="es-CO"/>
        </w:rPr>
        <w:t> y </w:t>
      </w:r>
      <w:hyperlink r:id="rId137" w:tooltip="Estatuto Tributario CETA" w:history="1">
        <w:r w:rsidRPr="006F6B75">
          <w:rPr>
            <w:rFonts w:ascii="Times New Roman" w:eastAsia="Times New Roman" w:hAnsi="Times New Roman" w:cs="Times New Roman"/>
            <w:sz w:val="24"/>
            <w:szCs w:val="24"/>
            <w:lang w:eastAsia="es-CO"/>
          </w:rPr>
          <w:t>20-2</w:t>
        </w:r>
      </w:hyperlink>
      <w:r w:rsidRPr="006F6B75">
        <w:rPr>
          <w:rFonts w:ascii="Times New Roman" w:eastAsia="Times New Roman" w:hAnsi="Times New Roman" w:cs="Times New Roman"/>
          <w:sz w:val="24"/>
          <w:szCs w:val="24"/>
          <w:lang w:eastAsia="es-CO"/>
        </w:rPr>
        <w:t> del Estatuto Tributario, los establecimientos permanentes de individuos, sociedades o entidades extrajeras de cualquier naturaleza, ubicados en el país, serán gravados sobre las rentas y ganancias ocasionales de fuente nacional y extranjera que le sean atribuibles.</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III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Entidades controladas del exterior</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59.</w:t>
      </w:r>
      <w:r w:rsidRPr="006F6B75">
        <w:rPr>
          <w:rFonts w:ascii="Times New Roman" w:eastAsia="Times New Roman" w:hAnsi="Times New Roman" w:cs="Times New Roman"/>
          <w:sz w:val="24"/>
          <w:szCs w:val="24"/>
          <w:lang w:eastAsia="es-CO"/>
        </w:rPr>
        <w:t> Modifíquese el </w:t>
      </w:r>
      <w:hyperlink r:id="rId138" w:tooltip="Estatuto Tributario CETA" w:history="1">
        <w:r w:rsidRPr="006F6B75">
          <w:rPr>
            <w:rFonts w:ascii="Times New Roman" w:eastAsia="Times New Roman" w:hAnsi="Times New Roman" w:cs="Times New Roman"/>
            <w:sz w:val="24"/>
            <w:szCs w:val="24"/>
            <w:lang w:eastAsia="es-CO"/>
          </w:rPr>
          <w:t>artículo 885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39" w:tooltip="Estatuto Tributario CETA" w:history="1">
        <w:r w:rsidR="00296598" w:rsidRPr="006F6B75">
          <w:rPr>
            <w:rFonts w:ascii="Times New Roman" w:eastAsia="Times New Roman" w:hAnsi="Times New Roman" w:cs="Times New Roman"/>
            <w:b/>
            <w:bCs/>
            <w:sz w:val="24"/>
            <w:szCs w:val="24"/>
            <w:lang w:eastAsia="es-CO"/>
          </w:rPr>
          <w:t>Artículo 885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Presunciones de pleno derecho. </w:t>
      </w:r>
      <w:r w:rsidR="00296598" w:rsidRPr="006F6B75">
        <w:rPr>
          <w:rFonts w:ascii="Times New Roman" w:eastAsia="Times New Roman" w:hAnsi="Times New Roman" w:cs="Times New Roman"/>
          <w:sz w:val="24"/>
          <w:szCs w:val="24"/>
          <w:lang w:eastAsia="es-CO"/>
        </w:rPr>
        <w:t>Se presume de pleno derecho que: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E23152">
      <w:pPr>
        <w:pStyle w:val="Prrafodelista"/>
        <w:numPr>
          <w:ilvl w:val="0"/>
          <w:numId w:val="3"/>
        </w:num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los ingresos pasivos de la ECE representan un 80% o más de los ingresos totales de la ECE, que la totalidad de los ingresos, costos y deducciones de la ECE darán origen a rentas pasivas.</w:t>
      </w:r>
    </w:p>
    <w:p w:rsidR="00E23152" w:rsidRPr="006F6B75" w:rsidRDefault="00E23152" w:rsidP="00E23152">
      <w:pPr>
        <w:pStyle w:val="Prrafodelista"/>
        <w:spacing w:after="0" w:line="240" w:lineRule="auto"/>
        <w:ind w:left="54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Cuando los ingresos activos o de actividades económicas reales de la ECE representan un 80% o más de los ingresos totales de la ECE, que la totalidad de los ingresos, costos y deducciones de la ECE darán origen a rentas activas.</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IV</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Fondos de capital privado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60.</w:t>
      </w:r>
      <w:r w:rsidRPr="006F6B75">
        <w:rPr>
          <w:rFonts w:ascii="Times New Roman" w:eastAsia="Times New Roman" w:hAnsi="Times New Roman" w:cs="Times New Roman"/>
          <w:sz w:val="24"/>
          <w:szCs w:val="24"/>
          <w:lang w:eastAsia="es-CO"/>
        </w:rPr>
        <w:t> Modifíquese el </w:t>
      </w:r>
      <w:hyperlink r:id="rId140" w:tooltip="Estatuto Tributario CETA" w:history="1">
        <w:r w:rsidRPr="006F6B75">
          <w:rPr>
            <w:rFonts w:ascii="Times New Roman" w:eastAsia="Times New Roman" w:hAnsi="Times New Roman" w:cs="Times New Roman"/>
            <w:sz w:val="24"/>
            <w:szCs w:val="24"/>
            <w:lang w:eastAsia="es-CO"/>
          </w:rPr>
          <w:t>artículo 23-1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41" w:tooltip="Estatuto Tributario CETA" w:history="1">
        <w:r w:rsidR="00296598" w:rsidRPr="006F6B75">
          <w:rPr>
            <w:rFonts w:ascii="Times New Roman" w:eastAsia="Times New Roman" w:hAnsi="Times New Roman" w:cs="Times New Roman"/>
            <w:b/>
            <w:bCs/>
            <w:sz w:val="24"/>
            <w:szCs w:val="24"/>
            <w:lang w:eastAsia="es-CO"/>
          </w:rPr>
          <w:t>Artículo 23-1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No son contribuyentes los fondos de capital privado, los fondos de inversión colectiva y otros. </w:t>
      </w:r>
      <w:r w:rsidR="00296598" w:rsidRPr="006F6B75">
        <w:rPr>
          <w:rFonts w:ascii="Times New Roman" w:eastAsia="Times New Roman" w:hAnsi="Times New Roman" w:cs="Times New Roman"/>
          <w:sz w:val="24"/>
          <w:szCs w:val="24"/>
          <w:lang w:eastAsia="es-CO"/>
        </w:rPr>
        <w:t xml:space="preserve">No son contribuyentes del impuesto sobre la renta y complementarios, los </w:t>
      </w:r>
      <w:r w:rsidR="00296598" w:rsidRPr="006F6B75">
        <w:rPr>
          <w:rFonts w:ascii="Times New Roman" w:eastAsia="Times New Roman" w:hAnsi="Times New Roman" w:cs="Times New Roman"/>
          <w:sz w:val="24"/>
          <w:szCs w:val="24"/>
          <w:lang w:eastAsia="es-CO"/>
        </w:rPr>
        <w:lastRenderedPageBreak/>
        <w:t>fondos de capital privado y los fondos de inversión colectiva, administrados por una entidad autorizada para tal efecto.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remuneración que reciba por su labor la entidad que administre el fondo constituye un ingreso gravable para la misma y estará sujeta a retención en la fuente.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ingresos del fondo de capital privado o de inversión colectiva, previa deducción de los gastos a cargo del mismo y de la contraprestación de la sociedad administradora, se distribuirán entre los suscriptores o partícipes, al mismo título que los haya recibido el fondo de capital privado o de inversión colectiva y en las mismas condiciones tributarias que tendrían si fueran percibidos directamente por el suscriptor o partícipe.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No </w:t>
      </w:r>
      <w:proofErr w:type="gramStart"/>
      <w:r w:rsidRPr="006F6B75">
        <w:rPr>
          <w:rFonts w:ascii="Times New Roman" w:eastAsia="Times New Roman" w:hAnsi="Times New Roman" w:cs="Times New Roman"/>
          <w:sz w:val="24"/>
          <w:szCs w:val="24"/>
          <w:lang w:eastAsia="es-CO"/>
        </w:rPr>
        <w:t>obstante</w:t>
      </w:r>
      <w:proofErr w:type="gramEnd"/>
      <w:r w:rsidRPr="006F6B75">
        <w:rPr>
          <w:rFonts w:ascii="Times New Roman" w:eastAsia="Times New Roman" w:hAnsi="Times New Roman" w:cs="Times New Roman"/>
          <w:sz w:val="24"/>
          <w:szCs w:val="24"/>
          <w:lang w:eastAsia="es-CO"/>
        </w:rPr>
        <w:t xml:space="preserve"> lo anterior, la realización de las rentas para los beneficiarios o partícipes de un fondo solo se diferirá hasta el momento de la distribución de las utilidades, inclusive en un período gravable distinto a aquel en el cual el fondo de capital privado o los fondos de inversión colectiva han devengado contablemente el respectivo ingreso, en los siguientes casos: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Cuando las participaciones del Fondo sean negociadas en una bolsa de valores sometida a la inspección y vigilancia de la Superintendencia Financiera de Colombia, 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Cuando el fondo cumpla con los siguientes requisitos: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No ser poseído directa o indirectamente, en más de un 50%, por un mismo beneficiario efectivo, o grupo inversionista vinculado económicamente o por miembros de una misma familia hasta un 4° grado de consanguinidad o afinidad, que sean contribuyentes del impuesto sobre la renta y;</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Cuando ninguno de los beneficiarios efectivos del fondo o grupo inversionista vinculado o grupo familiar, de manera individual o conjunta, tenga control o discrecionalidad sobre las distribuciones del mismo.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 dispuesto en el numeral 2 del inciso 4° no aplicará para aquellos fondos que tengan por objeto exclusivo desarrollar nuevos emprendimientos innovadores y recaudar capitales de riesgo para dicho propósito.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estos efectos, el valor de la inversión en el fondo tiene que ser inferior a seis cientos mil (600.000) UVT, y no puede existir vinculación económica a familiar entre el desarrollador del nuevo emprendimiento y los inversionistas de capital de riesgo.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No son contribuyentes del impuesto sobre la renta complementarios, los fondos parafiscales agropecuarios y pesqueros, y el Fondo de Promoción Turística. Los anteriores fondos que administran recursos públicos están sujetos a control fiscal.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 dispuesto en el literal b) del numeral segundo del inciso 4° no será aplicable al gestor, siempre y cuando no exista vinculación económica entre el gestor y los beneficiarios o inversionistas mayoritarios el fondo de capital privado o de inversión colectiva.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w:t>
      </w:r>
      <w:r w:rsidRPr="006F6B75">
        <w:rPr>
          <w:rFonts w:ascii="Times New Roman" w:eastAsia="Times New Roman" w:hAnsi="Times New Roman" w:cs="Times New Roman"/>
          <w:sz w:val="24"/>
          <w:szCs w:val="24"/>
          <w:lang w:eastAsia="es-CO"/>
        </w:rPr>
        <w:t>Los Fondos de Capital Privado y los Fondos de Inversión Colectiva que se encuentren vigentes a 31 de diciembre de 2018, continuarán rigiéndose por lo dispuesto en la Ley 1607 de 2012 y el Decreto 1848 de 2013 hasta el 30 de junio de 2020, fecha a partir de la cual deberán haberse acogido a los requisitos establecidos en los numerales 1 o 2 del inciso 4° de este artículo, según el caso, para mantener el tratamiento allí consagrado. En caso contrario, las utilidades de los fondos a los que se refiere el inciso 4°, que conforme a las disposiciones anteriores se hayan causado en el fondo y se encuentren pendientes de causación fiscal por parte de los partícipes, se entenderán causadas en el año gravable 2020, siempre y cuando no se cumplan los supuestos dispuestos en esta norma para su diferimiento.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61.</w:t>
      </w:r>
      <w:r w:rsidRPr="006F6B75">
        <w:rPr>
          <w:rFonts w:ascii="Times New Roman" w:eastAsia="Times New Roman" w:hAnsi="Times New Roman" w:cs="Times New Roman"/>
          <w:sz w:val="24"/>
          <w:szCs w:val="24"/>
          <w:lang w:eastAsia="es-CO"/>
        </w:rPr>
        <w:t> Modifíquese el </w:t>
      </w:r>
      <w:hyperlink r:id="rId142" w:tooltip="Estatuto Tributario CETA" w:history="1">
        <w:r w:rsidRPr="006F6B75">
          <w:rPr>
            <w:rFonts w:ascii="Times New Roman" w:eastAsia="Times New Roman" w:hAnsi="Times New Roman" w:cs="Times New Roman"/>
            <w:sz w:val="24"/>
            <w:szCs w:val="24"/>
            <w:lang w:eastAsia="es-CO"/>
          </w:rPr>
          <w:t>artículo 368-1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43" w:tooltip="Estatuto Tributario CETA" w:history="1">
        <w:r w:rsidR="00296598" w:rsidRPr="006F6B75">
          <w:rPr>
            <w:rFonts w:ascii="Times New Roman" w:eastAsia="Times New Roman" w:hAnsi="Times New Roman" w:cs="Times New Roman"/>
            <w:b/>
            <w:bCs/>
            <w:sz w:val="24"/>
            <w:szCs w:val="24"/>
            <w:lang w:eastAsia="es-CO"/>
          </w:rPr>
          <w:t>Artículo 368-1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Retención sobre distribución de ingresos por los fondos a que se refiere el </w:t>
      </w:r>
      <w:hyperlink r:id="rId144" w:tooltip="Estatuto Tributario CETA" w:history="1">
        <w:r w:rsidR="00296598" w:rsidRPr="006F6B75">
          <w:rPr>
            <w:rFonts w:ascii="Times New Roman" w:eastAsia="Times New Roman" w:hAnsi="Times New Roman" w:cs="Times New Roman"/>
            <w:b/>
            <w:bCs/>
            <w:i/>
            <w:iCs/>
            <w:sz w:val="24"/>
            <w:szCs w:val="24"/>
            <w:lang w:eastAsia="es-CO"/>
          </w:rPr>
          <w:t>artículo 23-1</w:t>
        </w:r>
      </w:hyperlink>
      <w:r w:rsidR="00296598" w:rsidRPr="006F6B75">
        <w:rPr>
          <w:rFonts w:ascii="Times New Roman" w:eastAsia="Times New Roman" w:hAnsi="Times New Roman" w:cs="Times New Roman"/>
          <w:b/>
          <w:bCs/>
          <w:i/>
          <w:iCs/>
          <w:sz w:val="24"/>
          <w:szCs w:val="24"/>
          <w:lang w:eastAsia="es-CO"/>
        </w:rPr>
        <w:t> del Estatuto Tributario. </w:t>
      </w:r>
      <w:r w:rsidR="00296598" w:rsidRPr="006F6B75">
        <w:rPr>
          <w:rFonts w:ascii="Times New Roman" w:eastAsia="Times New Roman" w:hAnsi="Times New Roman" w:cs="Times New Roman"/>
          <w:sz w:val="24"/>
          <w:szCs w:val="24"/>
          <w:lang w:eastAsia="es-CO"/>
        </w:rPr>
        <w:t>Los fondos de que trata el </w:t>
      </w:r>
      <w:hyperlink r:id="rId145" w:tooltip="Estatuto Tributario CETA" w:history="1">
        <w:r w:rsidR="00296598" w:rsidRPr="006F6B75">
          <w:rPr>
            <w:rFonts w:ascii="Times New Roman" w:eastAsia="Times New Roman" w:hAnsi="Times New Roman" w:cs="Times New Roman"/>
            <w:sz w:val="24"/>
            <w:szCs w:val="24"/>
            <w:lang w:eastAsia="es-CO"/>
          </w:rPr>
          <w:t>artículo 23-1</w:t>
        </w:r>
      </w:hyperlink>
      <w:r w:rsidR="00296598" w:rsidRPr="006F6B75">
        <w:rPr>
          <w:rFonts w:ascii="Times New Roman" w:eastAsia="Times New Roman" w:hAnsi="Times New Roman" w:cs="Times New Roman"/>
          <w:sz w:val="24"/>
          <w:szCs w:val="24"/>
          <w:lang w:eastAsia="es-CO"/>
        </w:rPr>
        <w:t>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salvo en los casos en los que no se admita el diferimiento del ingreso, en los términos establecidos en la norma. 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w:t>
      </w:r>
      <w:hyperlink r:id="rId146" w:tooltip="Estatuto Tributario CETA" w:history="1">
        <w:r w:rsidR="00296598" w:rsidRPr="006F6B75">
          <w:rPr>
            <w:rFonts w:ascii="Times New Roman" w:eastAsia="Times New Roman" w:hAnsi="Times New Roman" w:cs="Times New Roman"/>
            <w:sz w:val="24"/>
            <w:szCs w:val="24"/>
            <w:lang w:eastAsia="es-CO"/>
          </w:rPr>
          <w:t>artículo 23-1</w:t>
        </w:r>
      </w:hyperlink>
      <w:r w:rsidR="00296598"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derechos en los fondos o carteras colectivas y fondos mutuos mantendrán el costo fiscal, tratamiento y condiciones tributarias de los bienes o derechos que los conforman.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No estarán sometidos a retención en la fuente, los pagos o abonos en cuenta derivados de la enajenación de títulos de deuda, derechos de participación, acciones o valores de renta variable, cuando estos se negocien en el mercado a través de una bolsa de valores colombiana.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V</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Entidades sin ánimo de lucro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62.</w:t>
      </w:r>
      <w:r w:rsidRPr="006F6B75">
        <w:rPr>
          <w:rFonts w:ascii="Times New Roman" w:eastAsia="Times New Roman" w:hAnsi="Times New Roman" w:cs="Times New Roman"/>
          <w:sz w:val="24"/>
          <w:szCs w:val="24"/>
          <w:lang w:eastAsia="es-CO"/>
        </w:rPr>
        <w:t> Modifíquese el </w:t>
      </w:r>
      <w:hyperlink r:id="rId147" w:tooltip="Estatuto Tributario CETA" w:history="1">
        <w:r w:rsidRPr="006F6B75">
          <w:rPr>
            <w:rFonts w:ascii="Times New Roman" w:eastAsia="Times New Roman" w:hAnsi="Times New Roman" w:cs="Times New Roman"/>
            <w:sz w:val="24"/>
            <w:szCs w:val="24"/>
            <w:lang w:eastAsia="es-CO"/>
          </w:rPr>
          <w:t>artículo 364-3</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48" w:tooltip="Estatuto Tributario CETA" w:history="1">
        <w:r w:rsidR="00296598" w:rsidRPr="006F6B75">
          <w:rPr>
            <w:rFonts w:ascii="Times New Roman" w:eastAsia="Times New Roman" w:hAnsi="Times New Roman" w:cs="Times New Roman"/>
            <w:b/>
            <w:bCs/>
            <w:sz w:val="24"/>
            <w:szCs w:val="24"/>
            <w:lang w:eastAsia="es-CO"/>
          </w:rPr>
          <w:t>Artículo 364-3</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Pérdida de los beneficios del régimen tributario especial.</w:t>
      </w:r>
      <w:r w:rsidR="00296598" w:rsidRPr="006F6B75">
        <w:rPr>
          <w:rFonts w:ascii="Times New Roman" w:eastAsia="Times New Roman" w:hAnsi="Times New Roman" w:cs="Times New Roman"/>
          <w:i/>
          <w:iCs/>
          <w:sz w:val="24"/>
          <w:szCs w:val="24"/>
          <w:lang w:eastAsia="es-CO"/>
        </w:rPr>
        <w:t> </w:t>
      </w:r>
      <w:r w:rsidR="00296598" w:rsidRPr="006F6B75">
        <w:rPr>
          <w:rFonts w:ascii="Times New Roman" w:eastAsia="Times New Roman" w:hAnsi="Times New Roman" w:cs="Times New Roman"/>
          <w:sz w:val="24"/>
          <w:szCs w:val="24"/>
          <w:lang w:eastAsia="es-CO"/>
        </w:rPr>
        <w:t>Perderán los beneficios del Régimen Tributario Especial las entidades que: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No cumplan con lo dispuesto en los artículos 19 a 23-2.</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No cumplan con lo dispuesto en el Título VI del Libro Primero del presente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Cuyos miembros de junta directiva, fundadores, representantes legales o miembros de órganos de dirección: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Sean declarados responsables penalmente por delitos contra la administración pública, el orden económico social y contra el patrimonio económico, siempre y cuando los hechos hayan implicado la utilización de la entidad para la comisión del delito;</w:t>
      </w:r>
    </w:p>
    <w:p w:rsidR="002D7B39" w:rsidRPr="006F6B75" w:rsidRDefault="002D7B39"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Sean sancionados con la declaración de caducidad de un contrato celebrado con una entidad pública, siempre y cuando los hechos hayan implicado la utilización de la entidad para la comisión de la conducta.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entidades pueden solicitar su calificación al Régimen Tributario Especial para el año gravable siguiente a la pérdida del mismo, para lo cual deberán dar cumplimiento al procedimiento previsto en el </w:t>
      </w:r>
      <w:hyperlink r:id="rId149" w:tooltip="Estatuto Tributario CETA" w:history="1">
        <w:r w:rsidRPr="006F6B75">
          <w:rPr>
            <w:rFonts w:ascii="Times New Roman" w:eastAsia="Times New Roman" w:hAnsi="Times New Roman" w:cs="Times New Roman"/>
            <w:sz w:val="24"/>
            <w:szCs w:val="24"/>
            <w:lang w:eastAsia="es-CO"/>
          </w:rPr>
          <w:t>artículo 356-2</w:t>
        </w:r>
      </w:hyperlink>
      <w:r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w:t>
      </w:r>
      <w:hyperlink r:id="rId150" w:tooltip="Estatuto Tributario CETA" w:history="1">
        <w:r w:rsidRPr="006F6B75">
          <w:rPr>
            <w:rFonts w:ascii="Times New Roman" w:eastAsia="Times New Roman" w:hAnsi="Times New Roman" w:cs="Times New Roman"/>
            <w:sz w:val="24"/>
            <w:szCs w:val="24"/>
            <w:lang w:eastAsia="es-CO"/>
          </w:rPr>
          <w:t>artículo 356-1</w:t>
        </w:r>
      </w:hyperlink>
      <w:r w:rsidRPr="006F6B75">
        <w:rPr>
          <w:rFonts w:ascii="Times New Roman" w:eastAsia="Times New Roman" w:hAnsi="Times New Roman" w:cs="Times New Roman"/>
          <w:sz w:val="24"/>
          <w:szCs w:val="24"/>
          <w:lang w:eastAsia="es-CO"/>
        </w:rPr>
        <w:t> del presente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 previsto en el numeral 3° de este artículo impedirá la nueva calificación en el Régimen Tributario Especial.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 Administración Tributaria, previa comprobación y mediante acto administrativo debidamente motivado, podrá excluir del Régimen Tributario Especial a las entidades de que trata el </w:t>
      </w:r>
      <w:hyperlink r:id="rId151" w:tooltip="Estatuto Tributario CETA" w:history="1">
        <w:r w:rsidRPr="006F6B75">
          <w:rPr>
            <w:rFonts w:ascii="Times New Roman" w:eastAsia="Times New Roman" w:hAnsi="Times New Roman" w:cs="Times New Roman"/>
            <w:sz w:val="24"/>
            <w:szCs w:val="24"/>
            <w:lang w:eastAsia="es-CO"/>
          </w:rPr>
          <w:t>artículo 19-4</w:t>
        </w:r>
      </w:hyperlink>
      <w:r w:rsidRPr="006F6B75">
        <w:rPr>
          <w:rFonts w:ascii="Times New Roman" w:eastAsia="Times New Roman" w:hAnsi="Times New Roman" w:cs="Times New Roman"/>
          <w:sz w:val="24"/>
          <w:szCs w:val="24"/>
          <w:lang w:eastAsia="es-CO"/>
        </w:rPr>
        <w:t> del presente Estatuto que: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No cumplan con las obligaciones establecidas en la legislación cooperativa vigente y aquellas establecidas en el </w:t>
      </w:r>
      <w:hyperlink r:id="rId152" w:tooltip="Estatuto Tributario CETA" w:history="1">
        <w:r w:rsidRPr="006F6B75">
          <w:rPr>
            <w:rFonts w:ascii="Times New Roman" w:eastAsia="Times New Roman" w:hAnsi="Times New Roman" w:cs="Times New Roman"/>
            <w:sz w:val="24"/>
            <w:szCs w:val="24"/>
            <w:lang w:eastAsia="es-CO"/>
          </w:rPr>
          <w:t>artículo 19-4</w:t>
        </w:r>
      </w:hyperlink>
      <w:r w:rsidRPr="006F6B75">
        <w:rPr>
          <w:rFonts w:ascii="Times New Roman" w:eastAsia="Times New Roman" w:hAnsi="Times New Roman" w:cs="Times New Roman"/>
          <w:sz w:val="24"/>
          <w:szCs w:val="24"/>
          <w:lang w:eastAsia="es-CO"/>
        </w:rPr>
        <w:t>.</w:t>
      </w:r>
    </w:p>
    <w:p w:rsidR="002D7B39" w:rsidRPr="006F6B75" w:rsidRDefault="002D7B39"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Destinen el excedente o beneficio neto, en todo o en parte, en forma diferente a lo establecido en la legislación cooperativa vigente.</w:t>
      </w:r>
    </w:p>
    <w:p w:rsidR="002D7B39" w:rsidRPr="006F6B75" w:rsidRDefault="002D7B39"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3. No presenten o presenten de manera extemporánea su declaración del impuesto sobre la renta y complementarios por tres (3) períodos gravables en un período de diez (10) años, </w:t>
      </w:r>
      <w:r w:rsidRPr="006F6B75">
        <w:rPr>
          <w:rFonts w:ascii="Times New Roman" w:eastAsia="Times New Roman" w:hAnsi="Times New Roman" w:cs="Times New Roman"/>
          <w:sz w:val="24"/>
          <w:szCs w:val="24"/>
          <w:lang w:eastAsia="es-CO"/>
        </w:rPr>
        <w:lastRenderedPageBreak/>
        <w:t>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De ser excluidas del Régimen Tributario Especial, las entidades de que trata el presente parágrafo podrán solicitar su admisión pasados tres (3) años desde su exclusión, para lo cual deberán dar cumplimiento al procedimiento previsto en el </w:t>
      </w:r>
      <w:hyperlink r:id="rId153" w:tooltip="Estatuto Tributario CETA" w:history="1">
        <w:r w:rsidRPr="006F6B75">
          <w:rPr>
            <w:rFonts w:ascii="Times New Roman" w:eastAsia="Times New Roman" w:hAnsi="Times New Roman" w:cs="Times New Roman"/>
            <w:sz w:val="24"/>
            <w:szCs w:val="24"/>
            <w:lang w:eastAsia="es-CO"/>
          </w:rPr>
          <w:t>artículo 356-2</w:t>
        </w:r>
      </w:hyperlink>
      <w:r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 caso de pérdida de los beneficios del régimen tributario especial, dichos beneficios se tornan improcedentes a partir del año gravable en que se incumpla con los requisitos para pertenecer al régimen tributario especial.</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VI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Otras disposiciones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63.</w:t>
      </w:r>
      <w:r w:rsidRPr="006F6B75">
        <w:rPr>
          <w:rFonts w:ascii="Times New Roman" w:eastAsia="Times New Roman" w:hAnsi="Times New Roman" w:cs="Times New Roman"/>
          <w:sz w:val="24"/>
          <w:szCs w:val="24"/>
          <w:lang w:eastAsia="es-CO"/>
        </w:rPr>
        <w:t> Modifíquese el Capítulo 12 del Título XV de la Ley 599 de 2000, el cual quedará así:</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12</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De la omisión de activos, la defraudación y la promoción de estructuras de evasión tributaria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434A. </w:t>
      </w:r>
      <w:r w:rsidRPr="006F6B75">
        <w:rPr>
          <w:rFonts w:ascii="Times New Roman" w:eastAsia="Times New Roman" w:hAnsi="Times New Roman" w:cs="Times New Roman"/>
          <w:b/>
          <w:bCs/>
          <w:i/>
          <w:iCs/>
          <w:sz w:val="24"/>
          <w:szCs w:val="24"/>
          <w:lang w:eastAsia="es-CO"/>
        </w:rPr>
        <w:t>Omisión de activos o inclusión de pasivos inexistentes</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contribuyente que dolosamente omita activos o presente un menor valor de los activos declarados o declare pasivos inexistentes, en la declaración del impuesto sobre la renta, por un valor igual o superior a 5.000 salarios mínimos legales mensuales vigentes, y se liquide oficialmente por la autoridad tributaria un mayor valor del impuesto sobre la renta a cargo, será sancionado con pena privativa de la libertad de 48 a 108 meses de prisión y multa del 20% de los activos omitidos, del valor del pasivo inexistente o de la diferencia del valor del activo declarado por un menor valor.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valor de los activos omitidos o de los declarados por un menor valor, será establecido de conformidad con las reglas de valoración patrimonial de activos del Estatuto Tributario, y el de los pasivos inexistentes por el valor por el que hayan sido incluidos en la declaración del impuesto sobre la renta.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 xml:space="preserve">La acción penal solo podrá iniciarse previa solicitud del Director General de la Dirección de Impuestos y Aduanas Nacionales (DIAN) o la autoridad competente, o su delegado o delegados especiales, siguiendo criterios de razonabilidad y proporcionalidad, expresados en la respectiva solicitud. La autoridad tributaria se abstendrá de presentar esta </w:t>
      </w:r>
      <w:r w:rsidRPr="006F6B75">
        <w:rPr>
          <w:rFonts w:ascii="Times New Roman" w:eastAsia="Times New Roman" w:hAnsi="Times New Roman" w:cs="Times New Roman"/>
          <w:sz w:val="24"/>
          <w:szCs w:val="24"/>
          <w:lang w:eastAsia="es-CO"/>
        </w:rPr>
        <w:lastRenderedPageBreak/>
        <w:t>solicitud cuando el mayor impuesto a cargo liquidado oficialmente se genere como consecuencia de una interpretación razonable del derecho aplicable, siempre que los hechos y cifras declarados por el contribuyente sean completos y verdaderos.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 acción penal se extinguirá cuando el contribuyente presente o corrija la declaración o declaraciones correspondientes y realice los respectivos pagos de impuestos, sanciones tributarias, intereses y multas correspondientes, y el valor de los activos omitidos, el menor valor de los activos declarados o el valor de los pasivos inexistentes, sea menor a 8.500 salarios mínimos mensuales legales vigentes.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434B. </w:t>
      </w:r>
      <w:r w:rsidRPr="006F6B75">
        <w:rPr>
          <w:rFonts w:ascii="Times New Roman" w:eastAsia="Times New Roman" w:hAnsi="Times New Roman" w:cs="Times New Roman"/>
          <w:b/>
          <w:bCs/>
          <w:i/>
          <w:iCs/>
          <w:sz w:val="24"/>
          <w:szCs w:val="24"/>
          <w:lang w:eastAsia="es-CO"/>
        </w:rPr>
        <w:t>Defraudación o evasión tributaria. </w:t>
      </w:r>
      <w:r w:rsidRPr="006F6B75">
        <w:rPr>
          <w:rFonts w:ascii="Times New Roman" w:eastAsia="Times New Roman" w:hAnsi="Times New Roman" w:cs="Times New Roman"/>
          <w:sz w:val="24"/>
          <w:szCs w:val="24"/>
          <w:lang w:eastAsia="es-CO"/>
        </w:rPr>
        <w:t>Siempre que la conducta no constituya otro delito sancionado con pena mayor, el contribuyente que dolosamente, estando obligado a declarar no declare, o que en una declaración tributaria omita ingresos, o incluya costos o gastos inexistentes, o reclame créditos fiscales, retenciones o anticipos improcedentes, y se liquide oficialmente por la autoridad tributaria un mayor valor del impuesto a cargo por un valor igual o superior a 250 salarios mínimos legales mensuales vigentes e inferior a 2500 salarios mínimos legales mensuales vigentes, el contribuyente será sancionado con pena privativa de la libertad de 36 a 60 meses de prisión y multa del cincuenta por ciento (50%) del mayor valor del impuesto a cargo determinado.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Si el monto del impuesto a cargo liquidado oficialmente es superior a 2500 salarios mínimos legales mensuales vigentes e inferior a 8500 salarios mínimos legales mensuales vigentes, las penas previstas en este artículo se incrementarán en una tercera parte; en los eventos que sea superior a 8.500 salarios mínimos mensuales legales vigentes, las penas se incrementarán en la mitad.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 acción penal solo podrá iniciarse previa solicitud del Director General de la Dirección de Impuestos y Aduanas Nacionales (DIAN) o la autoridad competente, o su delegado o delegados especiales, siguiendo criterios de razonabilidad y proporcionalidad, expresados en la respectiva solicitud. La Autoridad Tributaria se abstendrá de presentar esta solicitud cuando el mayor impuesto a cargo liquidado oficialmente se genere como consecuencia de una interpretación razonable del derecho aplicable, siempre que los hechos y cifras declarados por el contribuyente sean completos y verdaderos.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 acción penal se extinguirá cuando el contribuyente presente o corrija la declaración o declaraciones correspondientes y realice los respectivos pagos de impuestos, sanciones tributarias, intereses y multas correspondientes, y el valor del mayor impuesto a cargo liquidado oficialmente, sea menor a 8500 salarios mínimos mensuales legales vigentes.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64.</w:t>
      </w:r>
      <w:r w:rsidRPr="006F6B75">
        <w:rPr>
          <w:rFonts w:ascii="Times New Roman" w:eastAsia="Times New Roman" w:hAnsi="Times New Roman" w:cs="Times New Roman"/>
          <w:sz w:val="24"/>
          <w:szCs w:val="24"/>
          <w:lang w:eastAsia="es-CO"/>
        </w:rPr>
        <w:t> Adiciónense los literales g) y h), y un parágrafo al </w:t>
      </w:r>
      <w:hyperlink r:id="rId154" w:tooltip="Estatuto Tributario CETA" w:history="1">
        <w:r w:rsidRPr="006F6B75">
          <w:rPr>
            <w:rFonts w:ascii="Times New Roman" w:eastAsia="Times New Roman" w:hAnsi="Times New Roman" w:cs="Times New Roman"/>
            <w:sz w:val="24"/>
            <w:szCs w:val="24"/>
            <w:lang w:eastAsia="es-CO"/>
          </w:rPr>
          <w:t>artículo 793</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g) </w:t>
      </w:r>
      <w:r w:rsidRPr="006F6B75">
        <w:rPr>
          <w:rFonts w:ascii="Times New Roman" w:eastAsia="Times New Roman" w:hAnsi="Times New Roman" w:cs="Times New Roman"/>
          <w:sz w:val="24"/>
          <w:szCs w:val="24"/>
          <w:lang w:eastAsia="es-CO"/>
        </w:rPr>
        <w:t>Las personas o entidades que hayan sido parte en negocios con propósitos de evasión o de abuso, por los impuestos, intereses y sanciones dejados de recaudar por parte de la Administración Tributaria.</w:t>
      </w:r>
    </w:p>
    <w:p w:rsidR="001E05CD" w:rsidRPr="006F6B75" w:rsidRDefault="001E05CD"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h) </w:t>
      </w:r>
      <w:r w:rsidRPr="006F6B75">
        <w:rPr>
          <w:rFonts w:ascii="Times New Roman" w:eastAsia="Times New Roman" w:hAnsi="Times New Roman" w:cs="Times New Roman"/>
          <w:sz w:val="24"/>
          <w:szCs w:val="24"/>
          <w:lang w:eastAsia="es-CO"/>
        </w:rPr>
        <w:t>Quienes custodien, administren o de cualquier manera gestionen activos en fondos o vehículos utilizados por sus partícipes con propósitos de evasión o abuso, con conocimiento de operación u operaciones constitutivas de abuso en materia tributaria.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 todos los casos de solidaridad previstos en este Estatuto, la Administración deberá notificar sus actuaciones a los deudores solidarios, en aras de que ejerzan su derecho de defensa.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auxiliares de la justicia que actúan como liquidadores o interventores en procesos concursales designados por la Superintendencia de Sociedades responden patrimonialmente de manera subsidiar la por las sumas que se llegaren a liquidar, sean estas por tributos, intereses y sanciones, entre otras, respecto de períodos posteriores a su posesión. No habrá lugar a la responsabilidad subsidiaria a cargo de los referidos auxiliares de la justicia cuando el deudor carezca de contabilidad de acuerdo con la certificación que para el efecto expida la Superintendencia de Sociedades al momento de su posesión, pero este velará por el cumplimiento de los deberes formales a cargo del deudor después de reconstruir dicha contabilidad. El término de reconstrucción de la contabilidad no podrá exceder el plazo previsto en la legislación vigente, una vez se posesione el auxiliar de la justicia.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65.</w:t>
      </w:r>
      <w:r w:rsidRPr="006F6B75">
        <w:rPr>
          <w:rFonts w:ascii="Times New Roman" w:eastAsia="Times New Roman" w:hAnsi="Times New Roman" w:cs="Times New Roman"/>
          <w:sz w:val="24"/>
          <w:szCs w:val="24"/>
          <w:lang w:eastAsia="es-CO"/>
        </w:rPr>
        <w:t> Adiciónese un parágrafo al </w:t>
      </w:r>
      <w:hyperlink r:id="rId155" w:tooltip="Estatuto Tributario CETA" w:history="1">
        <w:r w:rsidRPr="006F6B75">
          <w:rPr>
            <w:rFonts w:ascii="Times New Roman" w:eastAsia="Times New Roman" w:hAnsi="Times New Roman" w:cs="Times New Roman"/>
            <w:sz w:val="24"/>
            <w:szCs w:val="24"/>
            <w:lang w:eastAsia="es-CO"/>
          </w:rPr>
          <w:t>artículo 368</w:t>
        </w:r>
      </w:hyperlink>
      <w:r w:rsidRPr="006F6B75">
        <w:rPr>
          <w:rFonts w:ascii="Times New Roman" w:eastAsia="Times New Roman" w:hAnsi="Times New Roman" w:cs="Times New Roman"/>
          <w:sz w:val="24"/>
          <w:szCs w:val="24"/>
          <w:lang w:eastAsia="es-CO"/>
        </w:rPr>
        <w:t> 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56" w:tooltip="Estatuto Tributario CETA" w:history="1">
        <w:r w:rsidR="00296598" w:rsidRPr="006F6B75">
          <w:rPr>
            <w:rFonts w:ascii="Times New Roman" w:eastAsia="Times New Roman" w:hAnsi="Times New Roman" w:cs="Times New Roman"/>
            <w:b/>
            <w:bCs/>
            <w:sz w:val="24"/>
            <w:szCs w:val="24"/>
            <w:lang w:eastAsia="es-CO"/>
          </w:rPr>
          <w:t>Artículo 368</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Quiénes son agentes de retención.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Entiéndase también como agentes de retención las personas jurídicas y naturales exportadoras de servicios de entretenimiento para adulto a través del sistema webcam, que mediante contrato de mandato como hecho generador practiquen la retención en la fuente por servicios al mandante en el respectivo pago o abono en cuenta, de conformidad con el </w:t>
      </w:r>
      <w:hyperlink r:id="rId157" w:tooltip="Estatuto Tributario CETA" w:history="1">
        <w:r w:rsidRPr="006F6B75">
          <w:rPr>
            <w:rFonts w:ascii="Times New Roman" w:eastAsia="Times New Roman" w:hAnsi="Times New Roman" w:cs="Times New Roman"/>
            <w:sz w:val="24"/>
            <w:szCs w:val="24"/>
            <w:lang w:eastAsia="es-CO"/>
          </w:rPr>
          <w:t>artículo 392</w:t>
        </w:r>
      </w:hyperlink>
      <w:r w:rsidRPr="006F6B75">
        <w:rPr>
          <w:rFonts w:ascii="Times New Roman" w:eastAsia="Times New Roman" w:hAnsi="Times New Roman" w:cs="Times New Roman"/>
          <w:sz w:val="24"/>
          <w:szCs w:val="24"/>
          <w:lang w:eastAsia="es-CO"/>
        </w:rPr>
        <w:t>. Estas empresas estarán organizadas en una Federación de Comercio Electrónico para Adultos para su control y el sector será reglamentado mediante ley.</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TÍTULO V</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NORMAS DE FINANCIAMIENTO A TRAVÉS DE MEDIDAS PARA LA REACTIVACIÓN ECONÓMICA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Impuesto unificado bajo el Régimen Simple de Tributación (Simple)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66.</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Impuesto unificado bajo el Régimen Simple de Tributación (Simple) para la formalización y la generación de empleo. </w:t>
      </w:r>
      <w:r w:rsidRPr="006F6B75">
        <w:rPr>
          <w:rFonts w:ascii="Times New Roman" w:eastAsia="Times New Roman" w:hAnsi="Times New Roman" w:cs="Times New Roman"/>
          <w:sz w:val="24"/>
          <w:szCs w:val="24"/>
          <w:lang w:eastAsia="es-CO"/>
        </w:rPr>
        <w:t>Sustitúyase el Libro Octavo del Estatuto Tributario, el cual quedará así:</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LIBRO OCTAVO</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IMPUESTO UNIFICADO BAJO EL RÉGIMEN SIMPLE DE TRIBUTACIÓN (SIMPLE) PARA LA FORMALIZACIÓN Y LA GENERACIÓN DE EMPLEO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58" w:tooltip="Estatuto Tributario CETA" w:history="1">
        <w:r w:rsidR="00296598" w:rsidRPr="006F6B75">
          <w:rPr>
            <w:rFonts w:ascii="Times New Roman" w:eastAsia="Times New Roman" w:hAnsi="Times New Roman" w:cs="Times New Roman"/>
            <w:b/>
            <w:bCs/>
            <w:sz w:val="24"/>
            <w:szCs w:val="24"/>
            <w:lang w:eastAsia="es-CO"/>
          </w:rPr>
          <w:t>Artículo 903</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Creación del impuesto unificado bajo el Régimen Simple de Tributación (Simple). </w:t>
      </w:r>
      <w:r w:rsidR="00296598" w:rsidRPr="006F6B75">
        <w:rPr>
          <w:rFonts w:ascii="Times New Roman" w:eastAsia="Times New Roman" w:hAnsi="Times New Roman" w:cs="Times New Roman"/>
          <w:sz w:val="24"/>
          <w:szCs w:val="24"/>
          <w:lang w:eastAsia="es-CO"/>
        </w:rPr>
        <w:t xml:space="preserve">Créese a partir del 1° de enero de 2019 el impuesto unificado que se pagará bajo el </w:t>
      </w:r>
      <w:r w:rsidR="00296598" w:rsidRPr="006F6B75">
        <w:rPr>
          <w:rFonts w:ascii="Times New Roman" w:eastAsia="Times New Roman" w:hAnsi="Times New Roman" w:cs="Times New Roman"/>
          <w:sz w:val="24"/>
          <w:szCs w:val="24"/>
          <w:lang w:eastAsia="es-CO"/>
        </w:rPr>
        <w:lastRenderedPageBreak/>
        <w:t>Régimen Simple de Tributación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impuesto unificado bajo el Régimen Simple de Tributación (Simple) 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Este sistema también integra los aportes del empleador a pensiones, mediante el mecanismo del crédito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 Dirección de Impuestos y Aduanas Nacionales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(RUT) de manera masiva, a través de un edicto que se publicará en la página web de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Dirección de Impuestos y Aduanas Nacionales (DIAN) informará a las autoridades municipales y distritales, mediante resolución, el listado de los contribuyentes que se acogieron al Régimen Simple de Tributación (Simple), así como aquellos que sean inscritos de oficio.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Gobierno Nacional reglamentará el intercambio de información y los programas de control y fiscalización conjuntos entre la Dirección de Impuestos y Aduanas Nacionales (DIAN), y las autoridades municipales y distritales.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contribuyentes que opten por acogerse al impuesto unificado bajo el Régimen Simple de Tributación (Simple) deberán realizar los respectivos aportes al Sistema General de Pensiones de conformidad con la legislación vigente y estarán exonerados de aportes parafiscales en los términos del </w:t>
      </w:r>
      <w:hyperlink r:id="rId159" w:tooltip="Estatuto Tributario CETA" w:history="1">
        <w:r w:rsidRPr="006F6B75">
          <w:rPr>
            <w:rFonts w:ascii="Times New Roman" w:eastAsia="Times New Roman" w:hAnsi="Times New Roman" w:cs="Times New Roman"/>
            <w:sz w:val="24"/>
            <w:szCs w:val="24"/>
            <w:lang w:eastAsia="es-CO"/>
          </w:rPr>
          <w:t>artículo 114-1</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valor del aporte al Sistema General de Pensiones a cargo del empleador que sea contribuyente del impuesto unificado bajo el Régimen Simple de Tributación (Simple), se podrá tomar como un descuento tributario en los recibos electrónicos de pago del anticipo bimestral Simple de que trata el </w:t>
      </w:r>
      <w:hyperlink r:id="rId160" w:tooltip="Estatuto Tributario CETA" w:history="1">
        <w:r w:rsidRPr="006F6B75">
          <w:rPr>
            <w:rFonts w:ascii="Times New Roman" w:eastAsia="Times New Roman" w:hAnsi="Times New Roman" w:cs="Times New Roman"/>
            <w:sz w:val="24"/>
            <w:szCs w:val="24"/>
            <w:lang w:eastAsia="es-CO"/>
          </w:rPr>
          <w:t>artículo 910</w:t>
        </w:r>
      </w:hyperlink>
      <w:r w:rsidRPr="006F6B75">
        <w:rPr>
          <w:rFonts w:ascii="Times New Roman" w:eastAsia="Times New Roman" w:hAnsi="Times New Roman" w:cs="Times New Roman"/>
          <w:sz w:val="24"/>
          <w:szCs w:val="24"/>
          <w:lang w:eastAsia="es-CO"/>
        </w:rPr>
        <w:t> de este Estatuto. El descuento no podrá exceder el valor del anticipo bimestral a cargo del contribuyente perteneciente a este régimen. La parte que corresponda al impuesto de industria y comercio consolidado no podrá ser cubierta con dicho descuento.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(Simple) debe haber efectuado el pago de los aportes al Sistema General de Pensiones antes de presentar el recibo electrónico del anticipo bimestral Simple de que trata el </w:t>
      </w:r>
      <w:hyperlink r:id="rId161" w:tooltip="Estatuto Tributario CETA" w:history="1">
        <w:r w:rsidRPr="006F6B75">
          <w:rPr>
            <w:rFonts w:ascii="Times New Roman" w:eastAsia="Times New Roman" w:hAnsi="Times New Roman" w:cs="Times New Roman"/>
            <w:sz w:val="24"/>
            <w:szCs w:val="24"/>
            <w:lang w:eastAsia="es-CO"/>
          </w:rPr>
          <w:t>artículo 910</w:t>
        </w:r>
      </w:hyperlink>
      <w:r w:rsidRPr="006F6B75">
        <w:rPr>
          <w:rFonts w:ascii="Times New Roman" w:eastAsia="Times New Roman" w:hAnsi="Times New Roman" w:cs="Times New Roman"/>
          <w:sz w:val="24"/>
          <w:szCs w:val="24"/>
          <w:lang w:eastAsia="es-CO"/>
        </w:rPr>
        <w:t>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62" w:tooltip="Estatuto Tributario CETA" w:history="1">
        <w:r w:rsidR="00296598" w:rsidRPr="006F6B75">
          <w:rPr>
            <w:rFonts w:ascii="Times New Roman" w:eastAsia="Times New Roman" w:hAnsi="Times New Roman" w:cs="Times New Roman"/>
            <w:b/>
            <w:bCs/>
            <w:sz w:val="24"/>
            <w:szCs w:val="24"/>
            <w:lang w:eastAsia="es-CO"/>
          </w:rPr>
          <w:t>Artículo 904</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Hecho generador y base gravable del impuesto unificado bajo el Régimen Simple de Tributación (Simple). </w:t>
      </w:r>
      <w:r w:rsidR="00296598" w:rsidRPr="006F6B75">
        <w:rPr>
          <w:rFonts w:ascii="Times New Roman" w:eastAsia="Times New Roman" w:hAnsi="Times New Roman" w:cs="Times New Roman"/>
          <w:sz w:val="24"/>
          <w:szCs w:val="24"/>
          <w:lang w:eastAsia="es-CO"/>
        </w:rPr>
        <w:t>El hecho generador del impuesto unificado bajo el Régimen Simple de Tributación (Simple) es la obtención de ingresos susceptibles de producir un incremento en el patrimonio, y su base gravable está integrada por la totalidad de los ingresos brutos, ordinarios y extraordinarios, percibidos en el respectivo período gravable.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el caso del impuesto de industria y comercio consolidado, el cual se integra al impuesto unificado bajo el Régimen Simple de Tributación (Simple), se mantienen la autonomía de los entes territoriales para la definición de los elementos del hecho generador, base gravable, tarifa y sujetos pasivos, de conformidad con las leyes vigentes.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Los ingresos constitutivos de ganancia ocasional no integran la base gravable del impuesto unificado bajo el Régimen Simple de Tributación (Simple). Tampoco integran la base gravable los ingresos no constitutivos de renta ni ganancia ocasional.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63" w:tooltip="Estatuto Tributario CETA" w:history="1">
        <w:r w:rsidR="00296598" w:rsidRPr="006F6B75">
          <w:rPr>
            <w:rFonts w:ascii="Times New Roman" w:eastAsia="Times New Roman" w:hAnsi="Times New Roman" w:cs="Times New Roman"/>
            <w:b/>
            <w:bCs/>
            <w:sz w:val="24"/>
            <w:szCs w:val="24"/>
            <w:lang w:eastAsia="es-CO"/>
          </w:rPr>
          <w:t>Artículo 905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Sujetos pasivos. </w:t>
      </w:r>
      <w:r w:rsidR="00296598" w:rsidRPr="006F6B75">
        <w:rPr>
          <w:rFonts w:ascii="Times New Roman" w:eastAsia="Times New Roman" w:hAnsi="Times New Roman" w:cs="Times New Roman"/>
          <w:sz w:val="24"/>
          <w:szCs w:val="24"/>
          <w:lang w:eastAsia="es-CO"/>
        </w:rPr>
        <w:t>Podrán ser sujetos pasivos del impuesto unificado bajo el Régimen Simple de Tributación (Simple) las personas naturales o jurídicas que reúnan la totalidad de las siguientes condiciones: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Que se trate de una persona natural que desarrolle una empresa o de una persona jurídica en la que sus socios, partícipes o accionistas sean personas naturales, nacionales o extranjeras, residentes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Que en el año gravable anterior hubieren obtenido ingresos brutos, ordinarios o extraordinarios, inferiores a 80.000 UVT. En el caso de las empresas o personas jurídicas nuevas, la inscripción en el impuesto unificado bajo el Régimen Simple de Tributación (Simple) estará condicionada a que los ingresos del año no superen estos límites.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Si uno de los socios persona natural tiene una o varias empresas o participa en una o varias sociedades, inscritas en el impuesto unificado bajo el Régimen Simple de Tributación (Simple), los límites máximos de ingresos brutos se revisarán de forma consolidada y en la proporción a su participación en dichas empresas o sociedades.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Si uno de los socios persona natural tiene una participación superior al 10% en una o varias sociedades no inscritas en el impuesto unificado bajo el Régimen Simple de Tributación (Simple), los límites máximos de ingresos brutos se revisarán de forma consolidada y en la proporción a su participación en dichas sociedades.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 Si uno de los socios persona natural es gerente o administrador de otras empresas o sociedades, los límites máximos de ingresos brutos se revisarán de forma consolidada con los de las empresas o sociedades que administra.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w:t>
      </w:r>
      <w:r w:rsidRPr="006F6B75">
        <w:rPr>
          <w:rFonts w:ascii="Times New Roman" w:eastAsia="Times New Roman" w:hAnsi="Times New Roman" w:cs="Times New Roman"/>
          <w:sz w:val="24"/>
          <w:szCs w:val="24"/>
          <w:lang w:eastAsia="es-CO"/>
        </w:rPr>
        <w:lastRenderedPageBreak/>
        <w:t>Registro Único Tributario (RUT) y con todos los mecanismos electrónicos de cumplimiento, firma electrónica y factura electrónica.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Para efectos de la consolidación de los límites máximos de ingresos que tratan los numerales 3, 4 y 5 de este artículo, se tendrán en cuenta únicamente los ingresos para efectos fiscales.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64" w:tooltip="Estatuto Tributario CETA" w:history="1">
        <w:r w:rsidR="00296598" w:rsidRPr="006F6B75">
          <w:rPr>
            <w:rFonts w:ascii="Times New Roman" w:eastAsia="Times New Roman" w:hAnsi="Times New Roman" w:cs="Times New Roman"/>
            <w:b/>
            <w:bCs/>
            <w:sz w:val="24"/>
            <w:szCs w:val="24"/>
            <w:lang w:eastAsia="es-CO"/>
          </w:rPr>
          <w:t>Artículo 906</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Sujetos que no pueden optar por el impuesto unificado bajo el Régimen Simple de Tributación (Simple). </w:t>
      </w:r>
      <w:r w:rsidR="00296598" w:rsidRPr="006F6B75">
        <w:rPr>
          <w:rFonts w:ascii="Times New Roman" w:eastAsia="Times New Roman" w:hAnsi="Times New Roman" w:cs="Times New Roman"/>
          <w:sz w:val="24"/>
          <w:szCs w:val="24"/>
          <w:lang w:eastAsia="es-CO"/>
        </w:rPr>
        <w:t>No podrán optar por el impuesto unificado bajo el Régimen Simple de Tributación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Las personas jurídicas extranjeras o sus establecimientos permanentes.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Las personas naturales sin residencia en el país o sus establecimientos permanentes.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Las sociedades cuyos socios o administradores tengan en sustancia una relación laboral con el contratante, por tratarse de servicios personales, prestados con habitualidad y subordinación.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 Las entidades que sean filiales, subsidiarias, agencias, sucursales, de personas jurídicas nacionales o extranjeras, o de extranjeros no residentes.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 Las sociedades que sean accionistas, suscriptores, partícipes, fideicomitentes o beneficiarios de otras sociedades o entidades legales, en Colombia o el exterior.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 Las sociedades que sean entidades financieras.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8. Las personas naturales o jurídicas dedicadas a alguna de las siguientes actividades: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Actividades de microcrédito;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Actividades de gestión de activos, intermediación en la venta de activos, arrendamiento de activos y/o las actividades que generen ingresos pasivos que representen un 20% o más de los ingresos brutos totales de la persona natural o jurídica.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c) Factoraje o </w:t>
      </w:r>
      <w:proofErr w:type="spellStart"/>
      <w:r w:rsidRPr="006F6B75">
        <w:rPr>
          <w:rFonts w:ascii="Times New Roman" w:eastAsia="Times New Roman" w:hAnsi="Times New Roman" w:cs="Times New Roman"/>
          <w:sz w:val="24"/>
          <w:szCs w:val="24"/>
          <w:lang w:eastAsia="es-CO"/>
        </w:rPr>
        <w:t>factoring</w:t>
      </w:r>
      <w:proofErr w:type="spellEnd"/>
      <w:r w:rsidRPr="006F6B75">
        <w:rPr>
          <w:rFonts w:ascii="Times New Roman" w:eastAsia="Times New Roman" w:hAnsi="Times New Roman" w:cs="Times New Roman"/>
          <w:sz w:val="24"/>
          <w:szCs w:val="24"/>
          <w:lang w:eastAsia="es-CO"/>
        </w:rPr>
        <w: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Servicios de asesoría financiera y/o estructuración de créditos;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Generación, transmisión, distribución o comercialización de energía eléctrica;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Actividad de fabricación, importación o comercialización de automóviles;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g) Actividad de importación de combustibles;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 Producción o comercialización de armas de fuego, municiones y pólvoras, explosivos y detonantes.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 Las personas naturales o jurídicas que desarrollen simultáneamente una de las actividades relacionadas en el numeral 8 anterior y otra diferente.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10. Las sociedades que sean el resultado de la segregación, división o escisión de un negocio, que haya ocurrido en los cinco (5) años anteriores al momento de la solicitud de inscripción.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65" w:tooltip="Estatuto Tributario CETA" w:history="1">
        <w:r w:rsidR="00296598" w:rsidRPr="006F6B75">
          <w:rPr>
            <w:rFonts w:ascii="Times New Roman" w:eastAsia="Times New Roman" w:hAnsi="Times New Roman" w:cs="Times New Roman"/>
            <w:b/>
            <w:bCs/>
            <w:sz w:val="24"/>
            <w:szCs w:val="24"/>
            <w:lang w:eastAsia="es-CO"/>
          </w:rPr>
          <w:t>Artículo 907</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Impuestos que comprenden e integran el impuesto unificado bajo el Régimen Simple de Tributación (Simple). </w:t>
      </w:r>
      <w:r w:rsidR="00296598" w:rsidRPr="006F6B75">
        <w:rPr>
          <w:rFonts w:ascii="Times New Roman" w:eastAsia="Times New Roman" w:hAnsi="Times New Roman" w:cs="Times New Roman"/>
          <w:sz w:val="24"/>
          <w:szCs w:val="24"/>
          <w:lang w:eastAsia="es-CO"/>
        </w:rPr>
        <w:t>El impuesto unificado bajo el Régimen Simple de Tributación (Simple) comprende e integra los siguientes impuestos: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Impuesto sobre la renta.</w:t>
      </w:r>
    </w:p>
    <w:p w:rsidR="00930A6F" w:rsidRDefault="00930A6F"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Impuesto nacional al consumo, cuando se desarrollen servicios de expendio de comidas y bebidas.</w:t>
      </w:r>
    </w:p>
    <w:p w:rsidR="00930A6F" w:rsidRDefault="00930A6F"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El Impuesto sobre las Ventas (IVA), únicamente cuando se desarrolle una o más actividades descritas en el numeral 1 del </w:t>
      </w:r>
      <w:hyperlink r:id="rId166" w:tooltip="Estatuto Tributario CETA" w:history="1">
        <w:r w:rsidRPr="006F6B75">
          <w:rPr>
            <w:rFonts w:ascii="Times New Roman" w:eastAsia="Times New Roman" w:hAnsi="Times New Roman" w:cs="Times New Roman"/>
            <w:sz w:val="24"/>
            <w:szCs w:val="24"/>
            <w:lang w:eastAsia="es-CO"/>
          </w:rPr>
          <w:t>artículo 908</w:t>
        </w:r>
      </w:hyperlink>
      <w:r w:rsidRPr="006F6B75">
        <w:rPr>
          <w:rFonts w:ascii="Times New Roman" w:eastAsia="Times New Roman" w:hAnsi="Times New Roman" w:cs="Times New Roman"/>
          <w:sz w:val="24"/>
          <w:szCs w:val="24"/>
          <w:lang w:eastAsia="es-CO"/>
        </w:rPr>
        <w:t> de este Estatuto.</w:t>
      </w:r>
    </w:p>
    <w:p w:rsidR="00930A6F" w:rsidRDefault="00930A6F"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w:t>
      </w:r>
      <w:r w:rsidRPr="006F6B75">
        <w:rPr>
          <w:rFonts w:ascii="Times New Roman" w:eastAsia="Times New Roman" w:hAnsi="Times New Roman" w:cs="Times New Roman"/>
          <w:sz w:val="24"/>
          <w:szCs w:val="24"/>
          <w:lang w:eastAsia="es-CO"/>
        </w:rPr>
        <w:t>Antes del 31 de diciembre de 2019, los concejos municipales y distritales deberán proferir acuerdos con el propósito de establecer las tarifas únicas del impuesto de industria y comercio consolidado, aplicables bajo el Régimen Simple de Tributación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acuerdos que profieran los concejos municipales y distritales deben establecer una única tarifa consolidada para cada grupo de actividades descritas en los numerales del </w:t>
      </w:r>
      <w:hyperlink r:id="rId167" w:tooltip="Estatuto Tributario CETA" w:history="1">
        <w:r w:rsidRPr="006F6B75">
          <w:rPr>
            <w:rFonts w:ascii="Times New Roman" w:eastAsia="Times New Roman" w:hAnsi="Times New Roman" w:cs="Times New Roman"/>
            <w:sz w:val="24"/>
            <w:szCs w:val="24"/>
            <w:lang w:eastAsia="es-CO"/>
          </w:rPr>
          <w:t>artículo 908</w:t>
        </w:r>
      </w:hyperlink>
      <w:r w:rsidRPr="006F6B75">
        <w:rPr>
          <w:rFonts w:ascii="Times New Roman" w:eastAsia="Times New Roman" w:hAnsi="Times New Roman" w:cs="Times New Roman"/>
          <w:sz w:val="24"/>
          <w:szCs w:val="24"/>
          <w:lang w:eastAsia="es-CO"/>
        </w:rPr>
        <w:t> de este Estatuto, que integren el impuesto de industria y comercio, complementarios y sobretasas, de conformidad con las leyes vigentes, respetando la autonomía de los entes territoriales y dentro de los límites dispuestos en las leyes vigentes.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partir el 1° de enero de 2020, todos los municipios y distritos recaudarán el impuesto de industria y comercio a través del sistema del Régimen Simple de Tributación (Simple) respecto de los contribuyentes que se hayan acogido al régimen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68" w:tooltip="Estatuto Tributario CETA" w:history="1">
        <w:r w:rsidR="00296598" w:rsidRPr="006F6B75">
          <w:rPr>
            <w:rFonts w:ascii="Times New Roman" w:eastAsia="Times New Roman" w:hAnsi="Times New Roman" w:cs="Times New Roman"/>
            <w:b/>
            <w:bCs/>
            <w:sz w:val="24"/>
            <w:szCs w:val="24"/>
            <w:lang w:eastAsia="es-CO"/>
          </w:rPr>
          <w:t>Artículo 908</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Tarifa</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La tarifa del impuesto unificado bajo el Régimen Simple de Tributación (Simple) depende de los ingresos brutos anuales y de la actividad empresarial,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1. Tiendas pequeñas, minimercados, </w:t>
      </w:r>
      <w:proofErr w:type="spellStart"/>
      <w:r w:rsidRPr="006F6B75">
        <w:rPr>
          <w:rFonts w:ascii="Times New Roman" w:eastAsia="Times New Roman" w:hAnsi="Times New Roman" w:cs="Times New Roman"/>
          <w:sz w:val="24"/>
          <w:szCs w:val="24"/>
          <w:lang w:eastAsia="es-CO"/>
        </w:rPr>
        <w:t>micromercados</w:t>
      </w:r>
      <w:proofErr w:type="spellEnd"/>
      <w:r w:rsidRPr="006F6B75">
        <w:rPr>
          <w:rFonts w:ascii="Times New Roman" w:eastAsia="Times New Roman" w:hAnsi="Times New Roman" w:cs="Times New Roman"/>
          <w:sz w:val="24"/>
          <w:szCs w:val="24"/>
          <w:lang w:eastAsia="es-CO"/>
        </w:rPr>
        <w:t xml:space="preserve"> y peluquería:</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72D92381" wp14:editId="0F33F36B">
            <wp:extent cx="3131820" cy="1203960"/>
            <wp:effectExtent l="0" t="0" r="0" b="0"/>
            <wp:docPr id="4" name="Imagen 4" descr="http://www.ceta.org.co/html/imagenes/35690-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eta.org.co/html/imagenes/35690-img4.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131820" cy="120396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2. Actividades comerciales al por mayor y detal; servicios técnicos y mecánicos en los que predomina el factor material sobre el intelectual, los electricistas, los albañiles, los servicios de construcción y los talleres mecánicos de vehículos y electrodomésticos; actividades </w:t>
      </w:r>
      <w:r w:rsidRPr="006F6B75">
        <w:rPr>
          <w:rFonts w:ascii="Times New Roman" w:eastAsia="Times New Roman" w:hAnsi="Times New Roman" w:cs="Times New Roman"/>
          <w:sz w:val="24"/>
          <w:szCs w:val="24"/>
          <w:lang w:eastAsia="es-CO"/>
        </w:rPr>
        <w:lastRenderedPageBreak/>
        <w:t>industriales, incluidas las de agro-industria, miniindustria y micro-industria; actividades de telecomunicaciones y las demás actividades no incluidas en los siguientes numerales:</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570E048B" wp14:editId="4FD13CEF">
            <wp:extent cx="3116580" cy="1333500"/>
            <wp:effectExtent l="0" t="0" r="7620" b="0"/>
            <wp:docPr id="5" name="Imagen 5" descr="http://www.ceta.org.co/html/imagenes/35690-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eta.org.co/html/imagenes/35690-img5.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116580" cy="133350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Servicios profesionales, de consultoría y científicos en los que predomine el factor intelectual sobre el material, incluidos los servicios de profesiones liberales:</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291B8101" wp14:editId="1F30D796">
            <wp:extent cx="3131820" cy="1333500"/>
            <wp:effectExtent l="0" t="0" r="0" b="0"/>
            <wp:docPr id="6" name="Imagen 6" descr="http://www.ceta.org.co/html/imagenes/35690-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eta.org.co/html/imagenes/35690-img6.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131820" cy="133350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Actividades de expendio de comidas y bebidas, y actividades de transporte:</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2FCB4F43" wp14:editId="25AC98E7">
            <wp:extent cx="3116580" cy="1203960"/>
            <wp:effectExtent l="0" t="0" r="7620" b="0"/>
            <wp:docPr id="7" name="Imagen 7" descr="http://www.ceta.org.co/html/imagenes/35690-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eta.org.co/html/imagenes/35690-img7.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116580" cy="120396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Cuando se presten servicios de expendio de comidas y bebidas, se adicionará la tarifa del ocho por ciento (8%) por concepto del impuesto de consumo a la tarifa Simple consolidada.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 xml:space="preserve">Las autoridades municipales y distritales competentes deben informar a la Dirección de Impuestos y Aduanas Nacionales (DIAN), a más tardar el 31 de enero de cada </w:t>
      </w:r>
      <w:r w:rsidRPr="006F6B75">
        <w:rPr>
          <w:rFonts w:ascii="Times New Roman" w:eastAsia="Times New Roman" w:hAnsi="Times New Roman" w:cs="Times New Roman"/>
          <w:sz w:val="24"/>
          <w:szCs w:val="24"/>
          <w:lang w:eastAsia="es-CO"/>
        </w:rPr>
        <w:lastRenderedPageBreak/>
        <w:t>año, todas las tarifas aplicables para esa vigencia a título del impuesto de industria y comercio consolidado dentro de su jurisdicción. En caso que se modifiquen las tarifas, las autoridades municipales y distritales competentes deben actualizar la información respecto a las mismas dentro del mes siguiente a su modificación.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contribuyente debe informar a la Dirección de Impuestos y Aduanas Nacionales (DIAN) en el formulario que esta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contribuyentes del impuesto unificado bajo el Régimen Simple de Tributación (Simple), están obligados a pagar de forma bimestral un anticipo a título de este impuesto, a través de los recibos de pago electrónico del régimen Simple, el cual debe incluir la información sobre los ingresos que corresponde a cada municipio o distrito.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base del anticipo depende de los ingresos brutos bimestrales y de la actividad desarrollada,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1. Tiendas pequeñas, minimercados, </w:t>
      </w:r>
      <w:proofErr w:type="spellStart"/>
      <w:r w:rsidRPr="006F6B75">
        <w:rPr>
          <w:rFonts w:ascii="Times New Roman" w:eastAsia="Times New Roman" w:hAnsi="Times New Roman" w:cs="Times New Roman"/>
          <w:sz w:val="24"/>
          <w:szCs w:val="24"/>
          <w:lang w:eastAsia="es-CO"/>
        </w:rPr>
        <w:t>micromercados</w:t>
      </w:r>
      <w:proofErr w:type="spellEnd"/>
      <w:r w:rsidRPr="006F6B75">
        <w:rPr>
          <w:rFonts w:ascii="Times New Roman" w:eastAsia="Times New Roman" w:hAnsi="Times New Roman" w:cs="Times New Roman"/>
          <w:sz w:val="24"/>
          <w:szCs w:val="24"/>
          <w:lang w:eastAsia="es-CO"/>
        </w:rPr>
        <w:t xml:space="preserve"> y peluquerías:</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6972AE68" wp14:editId="6F99B979">
            <wp:extent cx="3147060" cy="1310640"/>
            <wp:effectExtent l="0" t="0" r="0" b="3810"/>
            <wp:docPr id="8" name="Imagen 8" descr="http://www.ceta.org.co/html/imagenes/35690-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eta.org.co/html/imagenes/35690-img8.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147060" cy="131064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776D5429" wp14:editId="384296D1">
            <wp:extent cx="3131820" cy="1333500"/>
            <wp:effectExtent l="0" t="0" r="0" b="0"/>
            <wp:docPr id="9" name="Imagen 9" descr="http://www.ceta.org.co/html/imagenes/35690-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eta.org.co/html/imagenes/35690-img9.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131820" cy="133350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3. Servicios profesionales, de consultoría y científicos en los que predomine el factor intelectual sobre el material, incluidos los servicios de profesiones liberales:</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6DA09562" wp14:editId="448FB90D">
            <wp:extent cx="3093720" cy="1325880"/>
            <wp:effectExtent l="0" t="0" r="0" b="7620"/>
            <wp:docPr id="10" name="Imagen 10" descr="http://www.ceta.org.co/html/imagenes/35690-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eta.org.co/html/imagenes/35690-img10.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93720" cy="132588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Actividades de expendio de comidas y bebidas, y actividades de transporte:</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noProof/>
          <w:sz w:val="24"/>
          <w:szCs w:val="24"/>
          <w:lang w:eastAsia="es-CO"/>
        </w:rPr>
        <w:drawing>
          <wp:inline distT="0" distB="0" distL="0" distR="0" wp14:anchorId="58BB09A7" wp14:editId="1A6E3505">
            <wp:extent cx="3124200" cy="1325880"/>
            <wp:effectExtent l="0" t="0" r="0" b="7620"/>
            <wp:docPr id="11" name="Imagen 11" descr="http://www.ceta.org.co/html/imagenes/35690-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eta.org.co/html/imagenes/35690-img11.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124200" cy="1325880"/>
                    </a:xfrm>
                    <a:prstGeom prst="rect">
                      <a:avLst/>
                    </a:prstGeom>
                    <a:noFill/>
                    <a:ln>
                      <a:noFill/>
                    </a:ln>
                  </pic:spPr>
                </pic:pic>
              </a:graphicData>
            </a:graphic>
          </wp:inline>
        </w:drawing>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Cuando un mismo contribuyente del Régimen Simple de Tributación (Simple) realice dos o más actividades empresariales, este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recursos recaudados por concepto de impuesto de industria y comercio consolidado al municipio o distrito que corresponda.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6</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En el año gravable en el que el contribuyente del impuesto unificado bajo el Régimen Simple de Tributación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77" w:tooltip="Estatuto Tributario CETA" w:history="1">
        <w:r w:rsidR="00296598" w:rsidRPr="006F6B75">
          <w:rPr>
            <w:rFonts w:ascii="Times New Roman" w:eastAsia="Times New Roman" w:hAnsi="Times New Roman" w:cs="Times New Roman"/>
            <w:b/>
            <w:bCs/>
            <w:sz w:val="24"/>
            <w:szCs w:val="24"/>
            <w:lang w:eastAsia="es-CO"/>
          </w:rPr>
          <w:t>Artículo 909</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Inscripción al impuesto unificado bajo el Régimen Simple de Tributación (Simple). </w:t>
      </w:r>
      <w:r w:rsidR="00296598" w:rsidRPr="006F6B75">
        <w:rPr>
          <w:rFonts w:ascii="Times New Roman" w:eastAsia="Times New Roman" w:hAnsi="Times New Roman" w:cs="Times New Roman"/>
          <w:sz w:val="24"/>
          <w:szCs w:val="24"/>
          <w:lang w:eastAsia="es-CO"/>
        </w:rPr>
        <w:t>Los contribuyentes que opten por acogerse al impuesto unificado bajo el Régimen Simple de Tributación (Simple) deberán inscribirse en el Registro Único Tributario (RUT) como contribuyentes del SIMPLE hasta el 31 del mes de enero del año gravable para el que ejerce la opción. Para los contribuyentes que se inscriban por primera vez en el Registro Único Tributario (RUT), deberán indicar en el formulario de inscripción su intención de acogerse a este régimen. La Dirección de Impuestos y Aduanas Nacionales (DIAN), consolidará mediante Resolución el listado de contribuyentes que se acogieron al Régimen Simple de Tributación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Quienes se inscriban como contribuyentes del impuesto unificado bajo el Régimen Simple de Tributación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ordinario, antes del último día hábil del mes de enero del año gravable para el que se ejerce la opción.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Dirección de Impuestos y Aduanas Nacionales (DIAN) podrá establecer mecanismos simplificados de renovación de la inscripción del Registro Único Tributario (RUT).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Quienes inicien actividades en el año gravable, podrán inscribirse en el Régimen Simple en el momento del registro inicial en el Registro Único Tributario (RUT).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Únicamente por el año 2019,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Si en los bimestres previos a la inscripción en el régimen simple de tributación, el contribuyente pagó el impuesto al consumo y/o el impuesto de industria y comercio y avisos y tableros, o estuvo sujeto a retenciones o auto retenciones en la fuente, por su actividad empresarial, dichas sumas podrán descontarse del valor a pagar por concepto de anticipo de los recibos electrónicos del Simple que sean presentados en los bimestres siguientes.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2°.</w:t>
      </w:r>
      <w:r w:rsidRPr="006F6B75">
        <w:rPr>
          <w:rFonts w:ascii="Times New Roman" w:eastAsia="Times New Roman" w:hAnsi="Times New Roman" w:cs="Times New Roman"/>
          <w:sz w:val="24"/>
          <w:szCs w:val="24"/>
          <w:lang w:eastAsia="es-CO"/>
        </w:rPr>
        <w:t> Hasta el 31 de diciembre de 2019, las autoridades municipales y distritales tienen plazo para integrar el impuesto de industria y comercio al impuesto unificado bajo el Régimen Simple de Tributación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consecuencia, únicamente por el año gravable 2019, los contribuyentes que realicen actividades gravadas con el impuesto de industria y comercio y avisos y tableros, en municipios que no hayan integrado este impuesto en el impuesto unificado bajo el Régimen Simple de Tributación (Simple), podrán descontar el impuesto mencionado en primer lugar en los recibos electrónicos bimestrales del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78" w:tooltip="Estatuto Tributario CETA" w:history="1">
        <w:r w:rsidR="00296598" w:rsidRPr="006F6B75">
          <w:rPr>
            <w:rFonts w:ascii="Times New Roman" w:eastAsia="Times New Roman" w:hAnsi="Times New Roman" w:cs="Times New Roman"/>
            <w:b/>
            <w:bCs/>
            <w:sz w:val="24"/>
            <w:szCs w:val="24"/>
            <w:lang w:eastAsia="es-CO"/>
          </w:rPr>
          <w:t>Artículo 910</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Declaración y pago del impuesto unificado bajo el Régimen Simple de Tributación (Simple). </w:t>
      </w:r>
      <w:r w:rsidR="00296598" w:rsidRPr="006F6B75">
        <w:rPr>
          <w:rFonts w:ascii="Times New Roman" w:eastAsia="Times New Roman" w:hAnsi="Times New Roman" w:cs="Times New Roman"/>
          <w:sz w:val="24"/>
          <w:szCs w:val="24"/>
          <w:lang w:eastAsia="es-CO"/>
        </w:rPr>
        <w:t xml:space="preserve">Los contribuyentes del impuesto unificado bajo el Régimen Simple de </w:t>
      </w:r>
      <w:r w:rsidR="00296598" w:rsidRPr="006F6B75">
        <w:rPr>
          <w:rFonts w:ascii="Times New Roman" w:eastAsia="Times New Roman" w:hAnsi="Times New Roman" w:cs="Times New Roman"/>
          <w:sz w:val="24"/>
          <w:szCs w:val="24"/>
          <w:lang w:eastAsia="es-CO"/>
        </w:rPr>
        <w:lastRenderedPageBreak/>
        <w:t>Tributación (Simple) deberán presentar una declaración anual consolidada dentro de los plazos que fije el Gobierno Nacional y en el formulario simplificado señalado por la Dirección de Impuestos y Aduanas Nacionales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w:t>
      </w:r>
      <w:hyperlink r:id="rId179" w:tooltip="Estatuto Tributario CETA" w:history="1">
        <w:r w:rsidR="00296598" w:rsidRPr="006F6B75">
          <w:rPr>
            <w:rFonts w:ascii="Times New Roman" w:eastAsia="Times New Roman" w:hAnsi="Times New Roman" w:cs="Times New Roman"/>
            <w:sz w:val="24"/>
            <w:szCs w:val="24"/>
            <w:lang w:eastAsia="es-CO"/>
          </w:rPr>
          <w:t>artículo 908</w:t>
        </w:r>
      </w:hyperlink>
      <w:r w:rsidR="00296598" w:rsidRPr="006F6B75">
        <w:rPr>
          <w:rFonts w:ascii="Times New Roman" w:eastAsia="Times New Roman" w:hAnsi="Times New Roman" w:cs="Times New Roman"/>
          <w:sz w:val="24"/>
          <w:szCs w:val="24"/>
          <w:lang w:eastAsia="es-CO"/>
        </w:rPr>
        <w:t> de este Estatuto. Dicho anticipo se descontará del valor a pagar en la declaración consolidada anual.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declaración anual consolidada del impuesto unificado bajo el Régimen Simple de Tributación (Simple) deberá transmitirse y presentarse con pago mediante los sistemas electrónicos de la Dirección de Impuestos y Aduanas Nacionales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(Simple), se reconocerá un saldo a favor compensable de forma automática con los recibos electrónicos Simple de los meses siguientes o con las declaraciones consolidadas anuales siguientes.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contribuyente deberá informar en la declaración del impuesto unificado bajo el Régimen Simple de Tributación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El pago del impuesto unificado bajo el Régimen Simple de Tributación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se desarrollan las actividades económicas que se incluirán en la declaración del impuesto unificado bajo el Régimen Simple de Tributación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80" w:tooltip="Estatuto Tributario CETA" w:history="1">
        <w:r w:rsidR="00296598" w:rsidRPr="006F6B75">
          <w:rPr>
            <w:rFonts w:ascii="Times New Roman" w:eastAsia="Times New Roman" w:hAnsi="Times New Roman" w:cs="Times New Roman"/>
            <w:b/>
            <w:bCs/>
            <w:sz w:val="24"/>
            <w:szCs w:val="24"/>
            <w:lang w:eastAsia="es-CO"/>
          </w:rPr>
          <w:t>Artículo 911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Retenciones y autorretenciones en la fuente en el impuesto unificado bajo el Régimen Simple de Tributación (Simple). </w:t>
      </w:r>
      <w:r w:rsidR="00296598" w:rsidRPr="006F6B75">
        <w:rPr>
          <w:rFonts w:ascii="Times New Roman" w:eastAsia="Times New Roman" w:hAnsi="Times New Roman" w:cs="Times New Roman"/>
          <w:sz w:val="24"/>
          <w:szCs w:val="24"/>
          <w:lang w:eastAsia="es-CO"/>
        </w:rPr>
        <w:t>Los contribuyentes del impuesto unificado bajo el Régimen Simple de Tributación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w:t>
      </w:r>
      <w:hyperlink r:id="rId181" w:tooltip="Estatuto Tributario CETA" w:history="1">
        <w:r w:rsidR="00296598" w:rsidRPr="006F6B75">
          <w:rPr>
            <w:rFonts w:ascii="Times New Roman" w:eastAsia="Times New Roman" w:hAnsi="Times New Roman" w:cs="Times New Roman"/>
            <w:sz w:val="24"/>
            <w:szCs w:val="24"/>
            <w:lang w:eastAsia="es-CO"/>
          </w:rPr>
          <w:t>artículo 437-2</w:t>
        </w:r>
      </w:hyperlink>
      <w:r w:rsidR="00296598"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82" w:tooltip="Estatuto Tributario CETA" w:history="1">
        <w:r w:rsidR="00296598" w:rsidRPr="006F6B75">
          <w:rPr>
            <w:rFonts w:ascii="Times New Roman" w:eastAsia="Times New Roman" w:hAnsi="Times New Roman" w:cs="Times New Roman"/>
            <w:b/>
            <w:bCs/>
            <w:sz w:val="24"/>
            <w:szCs w:val="24"/>
            <w:lang w:eastAsia="es-CO"/>
          </w:rPr>
          <w:t>Artículo 912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Crédito o descuento del impuesto por ingresos de tarjetas de crédito, débito y otros mecanismos de pagos electrónicos. </w:t>
      </w:r>
      <w:r w:rsidR="00296598" w:rsidRPr="006F6B75">
        <w:rPr>
          <w:rFonts w:ascii="Times New Roman" w:eastAsia="Times New Roman" w:hAnsi="Times New Roman" w:cs="Times New Roman"/>
          <w:sz w:val="24"/>
          <w:szCs w:val="24"/>
          <w:lang w:eastAsia="es-CO"/>
        </w:rPr>
        <w:t>Los pagos o abonos en cuenta susceptibles de constituir ingreso tributario para los contribuyentes del impuesto unificado bajo el Régimen Simple de Tributación (Simple),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(Simple) y, la parte que corresponda al impuesto de industria y comercio consolidado, no podrá ser cubierta con dicho descuento.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83" w:tooltip="Estatuto Tributario CETA" w:history="1">
        <w:r w:rsidR="00296598" w:rsidRPr="006F6B75">
          <w:rPr>
            <w:rFonts w:ascii="Times New Roman" w:eastAsia="Times New Roman" w:hAnsi="Times New Roman" w:cs="Times New Roman"/>
            <w:b/>
            <w:bCs/>
            <w:sz w:val="24"/>
            <w:szCs w:val="24"/>
            <w:lang w:eastAsia="es-CO"/>
          </w:rPr>
          <w:t>Artículo 913</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Exclusión del impuesto unificado bajo el Régimen Simple de Tributación (Simple) por razones de control. </w:t>
      </w:r>
      <w:r w:rsidR="00296598" w:rsidRPr="006F6B75">
        <w:rPr>
          <w:rFonts w:ascii="Times New Roman" w:eastAsia="Times New Roman" w:hAnsi="Times New Roman" w:cs="Times New Roman"/>
          <w:sz w:val="24"/>
          <w:szCs w:val="24"/>
          <w:lang w:eastAsia="es-CO"/>
        </w:rPr>
        <w:t>Cuando el contribuyente incumpla las condiciones y requisitos previstos para pertenecer al impuesto unificado bajo el Régimen Simple de Tributación (Simple) o cuando se verifique abuso en materia tributaria, y el incumplimiento no sea subsanable, perderá automáticamente su calificación como contribuyente del impuesto unificado bajo el Régimen Simple de Tributación (Simple) y deberá declararse como contribuyente del régimen ordinario, situación que debe actualizarse en el Registro Único Tributario (RUT) y debe transmitirse a las correspondientes autoridades municipales y distritales.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Dirección de Impuestos y Aduanas Nacionales (DIAN) tendrá las facultades para notificar una liquidación oficial simplificada del impuesto unificado bajo el Régimen Simple de Tributación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(Simple) se verificará de forma oficiosa y automática por parte de la Administración Tributaria.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contribuyente podrá desestimar y controvertir la liquidación oficial simplificada, a través de la presentación de la declaración del impuesto sobre la renta bajo el sistema ordinario o cedular según el caso, dentro de los tres meses siguientes a su notificación, de lo contrario quedará en firme la liquidación oficial simplificada y prestará mérito ejecutivo.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84" w:tooltip="Estatuto Tributario CETA" w:history="1">
        <w:r w:rsidR="00296598" w:rsidRPr="006F6B75">
          <w:rPr>
            <w:rFonts w:ascii="Times New Roman" w:eastAsia="Times New Roman" w:hAnsi="Times New Roman" w:cs="Times New Roman"/>
            <w:b/>
            <w:bCs/>
            <w:sz w:val="24"/>
            <w:szCs w:val="24"/>
            <w:lang w:eastAsia="es-CO"/>
          </w:rPr>
          <w:t>Artículo 914</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Exclusión del impuesto unificado bajo el Régimen Simple de Tributación (Simple) por incumplimiento. </w:t>
      </w:r>
      <w:r w:rsidR="00296598" w:rsidRPr="006F6B75">
        <w:rPr>
          <w:rFonts w:ascii="Times New Roman" w:eastAsia="Times New Roman" w:hAnsi="Times New Roman" w:cs="Times New Roman"/>
          <w:sz w:val="24"/>
          <w:szCs w:val="24"/>
          <w:lang w:eastAsia="es-CO"/>
        </w:rPr>
        <w:t>Cuando el contribuyente incumpla los pagos correspondientes al total del período del impuesto unificado bajo el Régimen Simple de Tributación (Simple), será excluido del Régimen y no podrá optar por este en el año gravable siguiente al del año gravable de la omisión o retardo en el pago. Se entenderá incumplido cuando el retardo en la declaración o en el pago del recibo Simple sea mayor a un (1) mes calendario.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85" w:tooltip="Estatuto Tributario CETA" w:history="1">
        <w:r w:rsidR="00296598" w:rsidRPr="006F6B75">
          <w:rPr>
            <w:rFonts w:ascii="Times New Roman" w:eastAsia="Times New Roman" w:hAnsi="Times New Roman" w:cs="Times New Roman"/>
            <w:b/>
            <w:bCs/>
            <w:sz w:val="24"/>
            <w:szCs w:val="24"/>
            <w:lang w:eastAsia="es-CO"/>
          </w:rPr>
          <w:t>Artículo 915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Régimen de IVA y de impuesto al consumo. </w:t>
      </w:r>
      <w:r w:rsidR="00296598" w:rsidRPr="006F6B75">
        <w:rPr>
          <w:rFonts w:ascii="Times New Roman" w:eastAsia="Times New Roman" w:hAnsi="Times New Roman" w:cs="Times New Roman"/>
          <w:sz w:val="24"/>
          <w:szCs w:val="24"/>
          <w:lang w:eastAsia="es-CO"/>
        </w:rPr>
        <w:t>Los contribuyentes del impuesto unificado bajo el Régimen Simple de Tributación (Simple) son responsables del Impuesto sobre las Ventas (IVA) o del impuesto nacional al consumo.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En el caso de los contribuyentes del impuesto unificado bajo el Régimen Simple de Tributación (Simple) que sean responsables del Impuesto sobre las Ventas (IVA), presentarán </w:t>
      </w:r>
      <w:r w:rsidRPr="006F6B75">
        <w:rPr>
          <w:rFonts w:ascii="Times New Roman" w:eastAsia="Times New Roman" w:hAnsi="Times New Roman" w:cs="Times New Roman"/>
          <w:sz w:val="24"/>
          <w:szCs w:val="24"/>
          <w:lang w:eastAsia="es-CO"/>
        </w:rPr>
        <w:lastRenderedPageBreak/>
        <w:t>una declaración anual consolidada del Impuesto sobre las Ventas (IVA), sin perjuicio de la obligación de transferir el IVA mensual a pagar mediante el mecanismo del recibo electrónico Simple. En el caso de los contribuyentes del impuesto unificado bajo el Régimen Simple de Tributación (Simple) que desarrollen actividades de expendio de comidas y bebidas, el impuesto al consumo se declara y paga mediante el Simple.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contribuyentes del impuesto unificado bajo el Régimen Simple de Tributación (Simple) están obligados a expedir facturas electrónicas y a solicitar las facturas o documento equivalente a sus proveedores de bienes y servicios, según las normas generales consagradas en el marco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Cuando un contribuyente del impuesto unificado bajo el Régimen Simple de Tributación (Simple) sea responsable del Impuesto sobre las Ventas (IVA), en virtud del desarrollo de una o más actividades descritas en el numeral 1 del </w:t>
      </w:r>
      <w:hyperlink r:id="rId186" w:tooltip="Estatuto Tributario CETA" w:history="1">
        <w:r w:rsidRPr="006F6B75">
          <w:rPr>
            <w:rFonts w:ascii="Times New Roman" w:eastAsia="Times New Roman" w:hAnsi="Times New Roman" w:cs="Times New Roman"/>
            <w:sz w:val="24"/>
            <w:szCs w:val="24"/>
            <w:lang w:eastAsia="es-CO"/>
          </w:rPr>
          <w:t>artículo 908</w:t>
        </w:r>
      </w:hyperlink>
      <w:r w:rsidRPr="006F6B75">
        <w:rPr>
          <w:rFonts w:ascii="Times New Roman" w:eastAsia="Times New Roman" w:hAnsi="Times New Roman" w:cs="Times New Roman"/>
          <w:sz w:val="24"/>
          <w:szCs w:val="24"/>
          <w:lang w:eastAsia="es-CO"/>
        </w:rPr>
        <w:t> de este Estatuto, no tienen derecho a solicitar impuestos descontables.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w:t>
      </w:r>
      <w:r w:rsidRPr="006F6B75">
        <w:rPr>
          <w:rFonts w:ascii="Times New Roman" w:eastAsia="Times New Roman" w:hAnsi="Times New Roman" w:cs="Times New Roman"/>
          <w:sz w:val="24"/>
          <w:szCs w:val="24"/>
          <w:lang w:eastAsia="es-CO"/>
        </w:rPr>
        <w:t>Los contribuyentes que opten por el impuesto unificado bajo el Régimen Simple de Tributación (Simple), tendrán plazo para adoptar el sistema de factura electrónica hasta el 31 de agosto de 2019.</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187" w:tooltip="Estatuto Tributario CETA" w:history="1">
        <w:r w:rsidR="00296598" w:rsidRPr="006F6B75">
          <w:rPr>
            <w:rFonts w:ascii="Times New Roman" w:eastAsia="Times New Roman" w:hAnsi="Times New Roman" w:cs="Times New Roman"/>
            <w:b/>
            <w:bCs/>
            <w:sz w:val="24"/>
            <w:szCs w:val="24"/>
            <w:lang w:eastAsia="es-CO"/>
          </w:rPr>
          <w:t>Artículo 916</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Régimen de procedimiento, sancionatorio y de firmeza de las declaraciones del impuesto unificado bajo el Régimen Simple de Tributación (Simple). </w:t>
      </w:r>
      <w:r w:rsidR="00296598" w:rsidRPr="006F6B75">
        <w:rPr>
          <w:rFonts w:ascii="Times New Roman" w:eastAsia="Times New Roman" w:hAnsi="Times New Roman" w:cs="Times New Roman"/>
          <w:sz w:val="24"/>
          <w:szCs w:val="24"/>
          <w:lang w:eastAsia="es-CO"/>
        </w:rPr>
        <w:t>El régimen de procedimiento, sancionatorio y de firmeza de las declaraciones del impuesto unificado bajo el Régimen Simple de Tributación (Simple) es el previsto en 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Los ingresos obtenidos por concepto de sanciones e intereses se distribuirán entre la Dirección de Impuestos y Aduanas Nacionales (DIAN) y las autoridades municipales y distritales competentes, en proporción a la participación de los impuestos nacionales y territoriales en el impuesto unificado bajo el Régimen Simple de Tributación (Simple).</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Régimen tributario en renta para las mega inversiones dentro del territorio nacional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67.</w:t>
      </w:r>
      <w:r w:rsidRPr="006F6B75">
        <w:rPr>
          <w:rFonts w:ascii="Times New Roman" w:eastAsia="Times New Roman" w:hAnsi="Times New Roman" w:cs="Times New Roman"/>
          <w:sz w:val="24"/>
          <w:szCs w:val="24"/>
          <w:lang w:eastAsia="es-CO"/>
        </w:rPr>
        <w:t> Adiciónese el artículo 235-3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235-3. </w:t>
      </w:r>
      <w:r w:rsidRPr="006F6B75">
        <w:rPr>
          <w:rFonts w:ascii="Times New Roman" w:eastAsia="Times New Roman" w:hAnsi="Times New Roman" w:cs="Times New Roman"/>
          <w:b/>
          <w:bCs/>
          <w:i/>
          <w:iCs/>
          <w:sz w:val="24"/>
          <w:szCs w:val="24"/>
          <w:lang w:eastAsia="es-CO"/>
        </w:rPr>
        <w:t>Mega-Inversiones</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A partir del 1° de enero de 2019, los contribuyentes del impuesto sobre la renta y complementarios que generen al menos doscientos cincuenta (250) nuevos empleos directos y realicen nuevas inversiones dentro del territorio nacional con valor igual o superior a treinta millones (30.000.000) UVT en cualquier actividad industrial, comercial y/o de servicios, cumplirán las obligaciones tributarias sustantivas correspondientes al impuesto sobre la renta y complementarios, siguiendo los parámetros que se mencionan a continuación: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Las inversiones deben hacerse en propiedades, planta y equipo, que sean productivos o que tengan la potencialidad de serlo. Las inversiones se deben hacer en un período máximo de cinco (5) años gravables. Si trascurrido el plazo, el contribuyente no cumple con el requisito de la inversión, se reconocerá una renta líquida por recuperación de deducciones sobre las </w:t>
      </w:r>
      <w:r w:rsidRPr="006F6B75">
        <w:rPr>
          <w:rFonts w:ascii="Times New Roman" w:eastAsia="Times New Roman" w:hAnsi="Times New Roman" w:cs="Times New Roman"/>
          <w:sz w:val="24"/>
          <w:szCs w:val="24"/>
          <w:lang w:eastAsia="es-CO"/>
        </w:rPr>
        <w:lastRenderedPageBreak/>
        <w:t>cantidades efectivamente invertidas en propiedades, planta y equipo, en la declaración de impuesto sobre la renta del quinto año. Los requisitos y formas de las inversiones de que trata este inciso serán reglamentadas por el Gobierno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Los contribuyentes que realicen las nuevas inversiones, sean personas naturales o jurídicas, residentes o no residentes, podrán depreciar sus activos fijos en un período mínimo de dos (2) años, independientemente de la vida útil del activo.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Los contribuyentes que realicen las nuevas inversiones, sean personas naturales o jurídicas, residentes o no residentes, no estarán sujetos al sistema de renta presuntiva consagrado en los artículos </w:t>
      </w:r>
      <w:hyperlink r:id="rId188" w:tooltip="Estatuto Tributario CETA" w:history="1">
        <w:r w:rsidRPr="006F6B75">
          <w:rPr>
            <w:rFonts w:ascii="Times New Roman" w:eastAsia="Times New Roman" w:hAnsi="Times New Roman" w:cs="Times New Roman"/>
            <w:sz w:val="24"/>
            <w:szCs w:val="24"/>
            <w:lang w:eastAsia="es-CO"/>
          </w:rPr>
          <w:t>188</w:t>
        </w:r>
      </w:hyperlink>
      <w:r w:rsidRPr="006F6B75">
        <w:rPr>
          <w:rFonts w:ascii="Times New Roman" w:eastAsia="Times New Roman" w:hAnsi="Times New Roman" w:cs="Times New Roman"/>
          <w:sz w:val="24"/>
          <w:szCs w:val="24"/>
          <w:lang w:eastAsia="es-CO"/>
        </w:rPr>
        <w:t> y siguientes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En caso que las inversiones sean efectuadas a través de sociedades nacionales o establecimientos permanentes, las utilidades que estas distribuyan, no estarán sometidas al impuesto a los dividendos. Cuando los dividendos o participaciones correspondan a utilidades, que de haberse distribuido hubieren estado gravadas, conforme a las reglas de los artículos </w:t>
      </w:r>
      <w:hyperlink r:id="rId189" w:tooltip="Estatuto Tributario CETA" w:history="1">
        <w:r w:rsidRPr="006F6B75">
          <w:rPr>
            <w:rFonts w:ascii="Times New Roman" w:eastAsia="Times New Roman" w:hAnsi="Times New Roman" w:cs="Times New Roman"/>
            <w:sz w:val="24"/>
            <w:szCs w:val="24"/>
            <w:lang w:eastAsia="es-CO"/>
          </w:rPr>
          <w:t>48</w:t>
        </w:r>
      </w:hyperlink>
      <w:r w:rsidRPr="006F6B75">
        <w:rPr>
          <w:rFonts w:ascii="Times New Roman" w:eastAsia="Times New Roman" w:hAnsi="Times New Roman" w:cs="Times New Roman"/>
          <w:sz w:val="24"/>
          <w:szCs w:val="24"/>
          <w:lang w:eastAsia="es-CO"/>
        </w:rPr>
        <w:t> y </w:t>
      </w:r>
      <w:hyperlink r:id="rId190" w:tooltip="Estatuto Tributario CETA" w:history="1">
        <w:r w:rsidRPr="006F6B75">
          <w:rPr>
            <w:rFonts w:ascii="Times New Roman" w:eastAsia="Times New Roman" w:hAnsi="Times New Roman" w:cs="Times New Roman"/>
            <w:sz w:val="24"/>
            <w:szCs w:val="24"/>
            <w:lang w:eastAsia="es-CO"/>
          </w:rPr>
          <w:t>49</w:t>
        </w:r>
      </w:hyperlink>
      <w:r w:rsidRPr="006F6B75">
        <w:rPr>
          <w:rFonts w:ascii="Times New Roman" w:eastAsia="Times New Roman" w:hAnsi="Times New Roman" w:cs="Times New Roman"/>
          <w:sz w:val="24"/>
          <w:szCs w:val="24"/>
          <w:lang w:eastAsia="es-CO"/>
        </w:rPr>
        <w:t> del Estatuto Tributario, estarán sometidos a la tarifa del 27% sobre el valor pagado o abonado en cuenta. El impuesto será retenido en la fuente, sobre el valor bruto de los pagos o abonos en cuenta por concepto de dividendos o participaciones.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 Los proyectos de Mega-Inversiones de que trata el presente artículo no estarán sujetas al impuesto al patrimonio consagrado en el </w:t>
      </w:r>
      <w:hyperlink r:id="rId191" w:tooltip="Estatuto Tributario CETA" w:history="1">
        <w:r w:rsidRPr="006F6B75">
          <w:rPr>
            <w:rFonts w:ascii="Times New Roman" w:eastAsia="Times New Roman" w:hAnsi="Times New Roman" w:cs="Times New Roman"/>
            <w:sz w:val="24"/>
            <w:szCs w:val="24"/>
            <w:lang w:eastAsia="es-CO"/>
          </w:rPr>
          <w:t>artículo 292-2</w:t>
        </w:r>
      </w:hyperlink>
      <w:r w:rsidRPr="006F6B75">
        <w:rPr>
          <w:rFonts w:ascii="Times New Roman" w:eastAsia="Times New Roman" w:hAnsi="Times New Roman" w:cs="Times New Roman"/>
          <w:sz w:val="24"/>
          <w:szCs w:val="24"/>
          <w:lang w:eastAsia="es-CO"/>
        </w:rPr>
        <w:t> del Estatuto Tributario o aquellos que se creen con posterioridad a la entrada en vigor de la presente ley.</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presente régimen aplicará para aquellas inversiones realizadas con anterioridad al 1 de enero de 2024, por un término de veinte (20) años contados a partir del período gravable en el cual el Ministerio de Comercio, Industria y Turismo notifique el acto administrativo reconociendo el carácter de Mega-Inversión para el nuevo proyecto, de acuerdo con la reglamentación que expida el Gobierno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inversionistas que ejecuten proyectos relacionados con la evaluación y exploración de recursos naturales no renovables, tales como la exploración, desarrollo y construcción de minas, y yacimientos de petróleo, no podrán solicitar calificación al Régimen Tributario en Renta para Mega-Inversiones.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68.</w:t>
      </w:r>
      <w:r w:rsidRPr="006F6B75">
        <w:rPr>
          <w:rFonts w:ascii="Times New Roman" w:eastAsia="Times New Roman" w:hAnsi="Times New Roman" w:cs="Times New Roman"/>
          <w:sz w:val="24"/>
          <w:szCs w:val="24"/>
          <w:lang w:eastAsia="es-CO"/>
        </w:rPr>
        <w:t> Adiciónese el artículo 235-4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235-4. </w:t>
      </w:r>
      <w:r w:rsidRPr="006F6B75">
        <w:rPr>
          <w:rFonts w:ascii="Times New Roman" w:eastAsia="Times New Roman" w:hAnsi="Times New Roman" w:cs="Times New Roman"/>
          <w:b/>
          <w:bCs/>
          <w:i/>
          <w:iCs/>
          <w:sz w:val="24"/>
          <w:szCs w:val="24"/>
          <w:lang w:eastAsia="es-CO"/>
        </w:rPr>
        <w:t>Estabilidad tributaria para Mega-Inversiones. </w:t>
      </w:r>
      <w:r w:rsidRPr="006F6B75">
        <w:rPr>
          <w:rFonts w:ascii="Times New Roman" w:eastAsia="Times New Roman" w:hAnsi="Times New Roman" w:cs="Times New Roman"/>
          <w:sz w:val="24"/>
          <w:szCs w:val="24"/>
          <w:lang w:eastAsia="es-CO"/>
        </w:rPr>
        <w:t>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este.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contratos de estabilidad tributaria podrán ser suscritos por los contribuyentes del impuesto sobre la renta y complementarios de que trata el artículo 235-3 de este Estatuto, con la Dirección de Impuestos y Aduanas Nacionales.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contratos de estabilidad tributar la deberán cumplir con la totalidad de los siguientes requisitos: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El inversionista realizará el proceso de calificación del proyecto como Mega-Inversión ante el Ministerio de Comercio, Industria y Turismo, de acuerdo con la reglamentación que expida el Gobierno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En los contratos se establecerá que la Dirección de Impuestos y Aduanas Nacionales (DIAN) tendrá facultades de auditoría tributaria, y del avance y cumplimiento del proyecto de inversión.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En los contratos de estabilidad tributaria se deberá establecer el monto de la prima a que se refiere el parágrafo 3 del presente artículo, la forma de pago y demás características de la misma.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El inversionista que suscriba un contrato de estabilidad tributaria pagará a favor de la Nación - Ministerio de Hacienda y Crédito Público una prima equivalente al 0,75% del valor de la inversión que se realice en cada año durante el período de cinco (5) años de que trata el artículo anterior de la presente ley, que en cualquier caso no puede ser inferior a treinta millones (30.000.000)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contratos de estabilidad tributaria empezarán a regir desde su firma y permanecerán vigentes durante el término del beneficio consagrado en el artículo 235-3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6</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7</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 xml:space="preserve">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w:t>
      </w:r>
      <w:r w:rsidRPr="006F6B75">
        <w:rPr>
          <w:rFonts w:ascii="Times New Roman" w:eastAsia="Times New Roman" w:hAnsi="Times New Roman" w:cs="Times New Roman"/>
          <w:sz w:val="24"/>
          <w:szCs w:val="24"/>
          <w:lang w:eastAsia="es-CO"/>
        </w:rPr>
        <w:lastRenderedPageBreak/>
        <w:t>impuestos, tasas y contribuciones que no hayan sido definidos expresamente en el artículo 235-3 de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estabilidad tributaria tampoco podrá recaer sobre las disposiciones de este artículo que sean declaradas inexequibles durante el término de duración de los contratos de estabilidad tributaria.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III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Régimen de Compañías Holding Colombianas (CHC) en el impuesto sobre la renta y ganancias ocasionales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69. </w:t>
      </w:r>
      <w:r w:rsidRPr="006F6B75">
        <w:rPr>
          <w:rFonts w:ascii="Times New Roman" w:eastAsia="Times New Roman" w:hAnsi="Times New Roman" w:cs="Times New Roman"/>
          <w:sz w:val="24"/>
          <w:szCs w:val="24"/>
          <w:lang w:eastAsia="es-CO"/>
        </w:rPr>
        <w:t>Adiciónese el siguiente Título al Libro Séptimo del Estatuto Tributario:</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TÍTULO II</w:t>
      </w:r>
    </w:p>
    <w:p w:rsidR="00296598" w:rsidRPr="006F6B75" w:rsidRDefault="00296598" w:rsidP="00296598">
      <w:pPr>
        <w:spacing w:after="0" w:line="240" w:lineRule="auto"/>
        <w:ind w:left="180"/>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RÉGIMEN DE COMPAÑÍAS HOLDING COLOMBIANAS (CHC) EN EL IMPUESTO SOBRE LA RENTA Y GANANCIAS OCASIONALES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894. </w:t>
      </w:r>
      <w:r w:rsidRPr="006F6B75">
        <w:rPr>
          <w:rFonts w:ascii="Times New Roman" w:eastAsia="Times New Roman" w:hAnsi="Times New Roman" w:cs="Times New Roman"/>
          <w:b/>
          <w:bCs/>
          <w:i/>
          <w:iCs/>
          <w:sz w:val="24"/>
          <w:szCs w:val="24"/>
          <w:lang w:eastAsia="es-CO"/>
        </w:rPr>
        <w:t>Compañías Holding Colombianas (CHC). </w:t>
      </w:r>
      <w:r w:rsidRPr="006F6B75">
        <w:rPr>
          <w:rFonts w:ascii="Times New Roman" w:eastAsia="Times New Roman" w:hAnsi="Times New Roman" w:cs="Times New Roman"/>
          <w:sz w:val="24"/>
          <w:szCs w:val="24"/>
          <w:lang w:eastAsia="es-CO"/>
        </w:rPr>
        <w:t>Podrán acogerse al régimen CHC las sociedades nacionales que tengan como una de sus actividades principales la tenencia de valores, la inversión o holding de acciones o participaciones en sociedades o entidades colombianas y/o del exterior, y/o la administración de dichas inversiones, siempre que cumplan con las siguientes condiciones: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Participación directa o indirecta en al menos el 10% del capital de dos o más sociedades o entidades colombianas y/o extranjeras por un período mínimo de 12 meses.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w:t>
      </w:r>
      <w:hyperlink r:id="rId192" w:tooltip="Estatuto Tributario CETA" w:history="1">
        <w:r w:rsidRPr="006F6B75">
          <w:rPr>
            <w:rFonts w:ascii="Times New Roman" w:eastAsia="Times New Roman" w:hAnsi="Times New Roman" w:cs="Times New Roman"/>
            <w:sz w:val="24"/>
            <w:szCs w:val="24"/>
            <w:lang w:eastAsia="es-CO"/>
          </w:rPr>
          <w:t>artículo 869</w:t>
        </w:r>
      </w:hyperlink>
      <w:r w:rsidRPr="006F6B75">
        <w:rPr>
          <w:rFonts w:ascii="Times New Roman" w:eastAsia="Times New Roman" w:hAnsi="Times New Roman" w:cs="Times New Roman"/>
          <w:sz w:val="24"/>
          <w:szCs w:val="24"/>
          <w:lang w:eastAsia="es-CO"/>
        </w:rPr>
        <w:t xml:space="preserve"> y siguientes del Estatuto Tributario y las cláusulas </w:t>
      </w:r>
      <w:proofErr w:type="spellStart"/>
      <w:r w:rsidRPr="006F6B75">
        <w:rPr>
          <w:rFonts w:ascii="Times New Roman" w:eastAsia="Times New Roman" w:hAnsi="Times New Roman" w:cs="Times New Roman"/>
          <w:sz w:val="24"/>
          <w:szCs w:val="24"/>
          <w:lang w:eastAsia="es-CO"/>
        </w:rPr>
        <w:t>antiabuso</w:t>
      </w:r>
      <w:proofErr w:type="spellEnd"/>
      <w:r w:rsidRPr="006F6B75">
        <w:rPr>
          <w:rFonts w:ascii="Times New Roman" w:eastAsia="Times New Roman" w:hAnsi="Times New Roman" w:cs="Times New Roman"/>
          <w:sz w:val="24"/>
          <w:szCs w:val="24"/>
          <w:lang w:eastAsia="es-CO"/>
        </w:rPr>
        <w:t xml:space="preserve"> establecidas en los convenios de doble imposición.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Las entidades públicas descentralizadas que tengan participaciones en otras sociedades, se entenderán incluidas en el régimen CHC.</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Artículo 895. </w:t>
      </w:r>
      <w:r w:rsidRPr="006F6B75">
        <w:rPr>
          <w:rFonts w:ascii="Times New Roman" w:eastAsia="Times New Roman" w:hAnsi="Times New Roman" w:cs="Times New Roman"/>
          <w:b/>
          <w:bCs/>
          <w:i/>
          <w:iCs/>
          <w:sz w:val="24"/>
          <w:szCs w:val="24"/>
          <w:lang w:eastAsia="es-CO"/>
        </w:rPr>
        <w:t>Dividendos y participaciones distribuidos por entidades no residentes en Colombia. </w:t>
      </w:r>
      <w:r w:rsidRPr="006F6B75">
        <w:rPr>
          <w:rFonts w:ascii="Times New Roman" w:eastAsia="Times New Roman" w:hAnsi="Times New Roman" w:cs="Times New Roman"/>
          <w:sz w:val="24"/>
          <w:szCs w:val="24"/>
          <w:lang w:eastAsia="es-CO"/>
        </w:rPr>
        <w:t>Los dividendos o participaciones distribuidos por entidades no residentes en Colombia a una CHC estarán exentos del impuesto sobre la renta y se declararán como rentas exentas de capital.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dividendos que a su vez distribuya una CHC a una persona natural residente o a una persona jurídica residente, contribuyente del impuesto sobre la renta, estarán gravados a la tarifa del impuesto sobre la renta por concepto de dividendos, de conformidad con los artículos </w:t>
      </w:r>
      <w:hyperlink r:id="rId193" w:tooltip="Estatuto Tributario CETA" w:history="1">
        <w:r w:rsidRPr="006F6B75">
          <w:rPr>
            <w:rFonts w:ascii="Times New Roman" w:eastAsia="Times New Roman" w:hAnsi="Times New Roman" w:cs="Times New Roman"/>
            <w:sz w:val="24"/>
            <w:szCs w:val="24"/>
            <w:lang w:eastAsia="es-CO"/>
          </w:rPr>
          <w:t>242</w:t>
        </w:r>
      </w:hyperlink>
      <w:r w:rsidRPr="006F6B75">
        <w:rPr>
          <w:rFonts w:ascii="Times New Roman" w:eastAsia="Times New Roman" w:hAnsi="Times New Roman" w:cs="Times New Roman"/>
          <w:sz w:val="24"/>
          <w:szCs w:val="24"/>
          <w:lang w:eastAsia="es-CO"/>
        </w:rPr>
        <w:t> y 242-1 de este Estatuto. Los dividendos que distribuya una CHC a una persona natural o jurídica no residente en Colombia, se entenderán rentas de fuente extranjera de acuerdo con el literal e) del </w:t>
      </w:r>
      <w:hyperlink r:id="rId194" w:tooltip="Estatuto Tributario CETA" w:history="1">
        <w:r w:rsidRPr="006F6B75">
          <w:rPr>
            <w:rFonts w:ascii="Times New Roman" w:eastAsia="Times New Roman" w:hAnsi="Times New Roman" w:cs="Times New Roman"/>
            <w:sz w:val="24"/>
            <w:szCs w:val="24"/>
            <w:lang w:eastAsia="es-CO"/>
          </w:rPr>
          <w:t>artículo 25</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Lo dispuesto en el presente artículo no se aplicará cuando el perceptor de las rentas distribuidas por la CHC tenga su domicilio o sea residente en una jurisdicción no cooperante de baja o nula imposición y/o de un régimen tributario preferencial según lo dispuesto en el </w:t>
      </w:r>
      <w:hyperlink r:id="rId195" w:tooltip="Estatuto Tributario CETA" w:history="1">
        <w:r w:rsidRPr="006F6B75">
          <w:rPr>
            <w:rFonts w:ascii="Times New Roman" w:eastAsia="Times New Roman" w:hAnsi="Times New Roman" w:cs="Times New Roman"/>
            <w:sz w:val="24"/>
            <w:szCs w:val="24"/>
            <w:lang w:eastAsia="es-CO"/>
          </w:rPr>
          <w:t>artículo 260-7</w:t>
        </w:r>
      </w:hyperlink>
      <w:r w:rsidRPr="006F6B75">
        <w:rPr>
          <w:rFonts w:ascii="Times New Roman" w:eastAsia="Times New Roman" w:hAnsi="Times New Roman" w:cs="Times New Roman"/>
          <w:sz w:val="24"/>
          <w:szCs w:val="24"/>
          <w:lang w:eastAsia="es-CO"/>
        </w:rPr>
        <w:t> y sus normas reglamentarias o las disposiciones que los modifiquen o sustituyan.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896. </w:t>
      </w:r>
      <w:r w:rsidRPr="006F6B75">
        <w:rPr>
          <w:rFonts w:ascii="Times New Roman" w:eastAsia="Times New Roman" w:hAnsi="Times New Roman" w:cs="Times New Roman"/>
          <w:b/>
          <w:bCs/>
          <w:i/>
          <w:iCs/>
          <w:sz w:val="24"/>
          <w:szCs w:val="24"/>
          <w:lang w:eastAsia="es-CO"/>
        </w:rPr>
        <w:t>Ganancias ocasionales exentas. </w:t>
      </w:r>
      <w:r w:rsidRPr="006F6B75">
        <w:rPr>
          <w:rFonts w:ascii="Times New Roman" w:eastAsia="Times New Roman" w:hAnsi="Times New Roman" w:cs="Times New Roman"/>
          <w:sz w:val="24"/>
          <w:szCs w:val="24"/>
          <w:lang w:eastAsia="es-CO"/>
        </w:rPr>
        <w:t>Las rentas derivadas de la venta o transmisión de la participación de una CHC en entidades no residentes en Colombia estarán exentas del impuesto sobre la renta y deberán declararse como ganancias ocasionales exentas.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w:t>
      </w:r>
      <w:hyperlink r:id="rId196" w:tooltip="Estatuto Tributario CETA" w:history="1">
        <w:r w:rsidRPr="006F6B75">
          <w:rPr>
            <w:rFonts w:ascii="Times New Roman" w:eastAsia="Times New Roman" w:hAnsi="Times New Roman" w:cs="Times New Roman"/>
            <w:sz w:val="24"/>
            <w:szCs w:val="24"/>
            <w:lang w:eastAsia="es-CO"/>
          </w:rPr>
          <w:t>artículo 25</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Lo dispuesto en el presente artículo no se aplicará cuando el perceptor de las rentas derivadas de la venta de las acciones en la CHC o distribuidas por esta, tenga su domicilio o sea residente en una jurisdicción no cooperante de baja o nula imposición y/o de un régimen tributario preferencial según lo dispuesto en el </w:t>
      </w:r>
      <w:hyperlink r:id="rId197" w:tooltip="Estatuto Tributario CETA" w:history="1">
        <w:r w:rsidRPr="006F6B75">
          <w:rPr>
            <w:rFonts w:ascii="Times New Roman" w:eastAsia="Times New Roman" w:hAnsi="Times New Roman" w:cs="Times New Roman"/>
            <w:sz w:val="24"/>
            <w:szCs w:val="24"/>
            <w:lang w:eastAsia="es-CO"/>
          </w:rPr>
          <w:t>artículo 260-7</w:t>
        </w:r>
      </w:hyperlink>
      <w:r w:rsidRPr="006F6B75">
        <w:rPr>
          <w:rFonts w:ascii="Times New Roman" w:eastAsia="Times New Roman" w:hAnsi="Times New Roman" w:cs="Times New Roman"/>
          <w:sz w:val="24"/>
          <w:szCs w:val="24"/>
          <w:lang w:eastAsia="es-CO"/>
        </w:rPr>
        <w:t> y sus normas reglamentarias o las disposiciones que los modifiquen o sustituyan.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897. </w:t>
      </w:r>
      <w:r w:rsidRPr="006F6B75">
        <w:rPr>
          <w:rFonts w:ascii="Times New Roman" w:eastAsia="Times New Roman" w:hAnsi="Times New Roman" w:cs="Times New Roman"/>
          <w:b/>
          <w:bCs/>
          <w:i/>
          <w:iCs/>
          <w:sz w:val="24"/>
          <w:szCs w:val="24"/>
          <w:lang w:eastAsia="es-CO"/>
        </w:rPr>
        <w:t>Obligaciones de información y documentación. </w:t>
      </w:r>
      <w:r w:rsidRPr="006F6B75">
        <w:rPr>
          <w:rFonts w:ascii="Times New Roman" w:eastAsia="Times New Roman" w:hAnsi="Times New Roman" w:cs="Times New Roman"/>
          <w:sz w:val="24"/>
          <w:szCs w:val="24"/>
          <w:lang w:eastAsia="es-CO"/>
        </w:rPr>
        <w:t xml:space="preserve">Las CHC deberán mantener la documentación que acredite el importe de las rentas exentas y los impuestos pagados en el extranjero correspondientes a estas, así como facilitar a sus socios o accionistas la información necesaria para que estos puedan cumplir lo previsto en los artículos anteriores. Adicionalmente, deberán mantener los estudios, documentos y comunicaciones, que </w:t>
      </w:r>
      <w:r w:rsidRPr="006F6B75">
        <w:rPr>
          <w:rFonts w:ascii="Times New Roman" w:eastAsia="Times New Roman" w:hAnsi="Times New Roman" w:cs="Times New Roman"/>
          <w:sz w:val="24"/>
          <w:szCs w:val="24"/>
          <w:lang w:eastAsia="es-CO"/>
        </w:rPr>
        <w:lastRenderedPageBreak/>
        <w:t>justifiquen que la toma de decisiones estratégicas respecto de las inversiones se verifica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898. </w:t>
      </w:r>
      <w:r w:rsidRPr="006F6B75">
        <w:rPr>
          <w:rFonts w:ascii="Times New Roman" w:eastAsia="Times New Roman" w:hAnsi="Times New Roman" w:cs="Times New Roman"/>
          <w:b/>
          <w:bCs/>
          <w:i/>
          <w:iCs/>
          <w:sz w:val="24"/>
          <w:szCs w:val="24"/>
          <w:lang w:eastAsia="es-CO"/>
        </w:rPr>
        <w:t>Coordinación con otros regímenes. </w:t>
      </w:r>
      <w:r w:rsidRPr="006F6B75">
        <w:rPr>
          <w:rFonts w:ascii="Times New Roman" w:eastAsia="Times New Roman" w:hAnsi="Times New Roman" w:cs="Times New Roman"/>
          <w:sz w:val="24"/>
          <w:szCs w:val="24"/>
          <w:lang w:eastAsia="es-CO"/>
        </w:rPr>
        <w:t>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Las CHC se consideran residentes fiscales colombianos para efectos de los convenios de doble imposición suscritos por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Para efectos del </w:t>
      </w:r>
      <w:hyperlink r:id="rId198" w:tooltip="Estatuto Tributario CETA" w:history="1">
        <w:r w:rsidRPr="006F6B75">
          <w:rPr>
            <w:rFonts w:ascii="Times New Roman" w:eastAsia="Times New Roman" w:hAnsi="Times New Roman" w:cs="Times New Roman"/>
            <w:sz w:val="24"/>
            <w:szCs w:val="24"/>
            <w:lang w:eastAsia="es-CO"/>
          </w:rPr>
          <w:t>artículo 177-1</w:t>
        </w:r>
      </w:hyperlink>
      <w:r w:rsidRPr="006F6B75">
        <w:rPr>
          <w:rFonts w:ascii="Times New Roman" w:eastAsia="Times New Roman" w:hAnsi="Times New Roman" w:cs="Times New Roman"/>
          <w:sz w:val="24"/>
          <w:szCs w:val="24"/>
          <w:lang w:eastAsia="es-CO"/>
        </w:rPr>
        <w:t>, serán deducibles en cabeza de las CHC, únicamente los costos y gastos atribuibles a los ingresos obtenidos por actividades gravadas realizadas en Colombia o en el extranjero a través de establecimientos permanentes.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Las CHC estarán sometidas al régimen ECE y podrán aplicar el descuento por impuestos pagados al exterior de acuerdo con lo dispuesto en el </w:t>
      </w:r>
      <w:hyperlink r:id="rId199" w:tooltip="Estatuto Tributario CETA" w:history="1">
        <w:r w:rsidRPr="006F6B75">
          <w:rPr>
            <w:rFonts w:ascii="Times New Roman" w:eastAsia="Times New Roman" w:hAnsi="Times New Roman" w:cs="Times New Roman"/>
            <w:sz w:val="24"/>
            <w:szCs w:val="24"/>
            <w:lang w:eastAsia="es-CO"/>
          </w:rPr>
          <w:t>artículo 892</w:t>
        </w:r>
      </w:hyperlink>
      <w:r w:rsidRPr="006F6B75">
        <w:rPr>
          <w:rFonts w:ascii="Times New Roman" w:eastAsia="Times New Roman" w:hAnsi="Times New Roman" w:cs="Times New Roman"/>
          <w:sz w:val="24"/>
          <w:szCs w:val="24"/>
          <w:lang w:eastAsia="es-CO"/>
        </w:rPr>
        <w:t> de este Estatuto. Las rentas reconocidas bajo el régimen ECE, no tendrán los beneficios del régimen CHC.</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Las CHC se encuentran sometidas al impuesto de industria y comercio en la medida en que realicen el hecho generador dentro del territorio de un municipio colombiano. Los dividendos recibidos por las inversiones en entidades extranjeras y cubiertos por el régimen CHC, no estarán sujetos al impuesto de industria y comercio.</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IV</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Obras por impuestos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70.</w:t>
      </w:r>
      <w:r w:rsidRPr="006F6B75">
        <w:rPr>
          <w:rFonts w:ascii="Times New Roman" w:eastAsia="Times New Roman" w:hAnsi="Times New Roman" w:cs="Times New Roman"/>
          <w:sz w:val="24"/>
          <w:szCs w:val="24"/>
          <w:lang w:eastAsia="es-CO"/>
        </w:rPr>
        <w:t> Adiciónese un parágrafo transitorio al artículo 238 de la Ley 1819 de 2016,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w:t>
      </w:r>
      <w:r w:rsidRPr="006F6B75">
        <w:rPr>
          <w:rFonts w:ascii="Times New Roman" w:eastAsia="Times New Roman" w:hAnsi="Times New Roman" w:cs="Times New Roman"/>
          <w:sz w:val="24"/>
          <w:szCs w:val="24"/>
          <w:lang w:eastAsia="es-CO"/>
        </w:rPr>
        <w:t>El presente artículo continuará vigente hasta el 30 de junio de 2019 y aplicará únicamente para el desarrollo de proyectos que se hayan aprobado en el mecanismo de obras por impuestos hasta el 30 de junio de 2019.</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71.</w:t>
      </w:r>
      <w:r w:rsidRPr="006F6B75">
        <w:rPr>
          <w:rFonts w:ascii="Times New Roman" w:eastAsia="Times New Roman" w:hAnsi="Times New Roman" w:cs="Times New Roman"/>
          <w:sz w:val="24"/>
          <w:szCs w:val="24"/>
          <w:lang w:eastAsia="es-CO"/>
        </w:rPr>
        <w:t> Adiciónese el artículo 800-1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800-1. </w:t>
      </w:r>
      <w:r w:rsidRPr="006F6B75">
        <w:rPr>
          <w:rFonts w:ascii="Times New Roman" w:eastAsia="Times New Roman" w:hAnsi="Times New Roman" w:cs="Times New Roman"/>
          <w:b/>
          <w:bCs/>
          <w:i/>
          <w:iCs/>
          <w:sz w:val="24"/>
          <w:szCs w:val="24"/>
          <w:lang w:eastAsia="es-CO"/>
        </w:rPr>
        <w:t>Obras por impuestos</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(ART) podrá autorizar la realización de los proyectos a los que se refiere la presente disposición, si verifica que el contribuyente </w:t>
      </w:r>
      <w:r w:rsidRPr="006F6B75">
        <w:rPr>
          <w:rFonts w:ascii="Times New Roman" w:eastAsia="Times New Roman" w:hAnsi="Times New Roman" w:cs="Times New Roman"/>
          <w:sz w:val="24"/>
          <w:szCs w:val="24"/>
          <w:lang w:eastAsia="es-CO"/>
        </w:rPr>
        <w:lastRenderedPageBreak/>
        <w:t>puede otorgar garantías suficientes para la ejecución del proyecto, a través de sus vinculados económicos o de entidades financieras o aseguradoras de reconocida idoneidad.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objeto de los convenios será la inversión directa en la ejecución de proyectos de trascendencia económica y social en los diferentes municipios definidos como las Zonas Más Afectadas por el Conflicto Armado (</w:t>
      </w:r>
      <w:proofErr w:type="spellStart"/>
      <w:r w:rsidRPr="006F6B75">
        <w:rPr>
          <w:rFonts w:ascii="Times New Roman" w:eastAsia="Times New Roman" w:hAnsi="Times New Roman" w:cs="Times New Roman"/>
          <w:sz w:val="24"/>
          <w:szCs w:val="24"/>
          <w:lang w:eastAsia="es-CO"/>
        </w:rPr>
        <w:t>Zomac</w:t>
      </w:r>
      <w:proofErr w:type="spellEnd"/>
      <w:r w:rsidRPr="006F6B75">
        <w:rPr>
          <w:rFonts w:ascii="Times New Roman" w:eastAsia="Times New Roman" w:hAnsi="Times New Roman" w:cs="Times New Roman"/>
          <w:sz w:val="24"/>
          <w:szCs w:val="24"/>
          <w:lang w:eastAsia="es-CO"/>
        </w:rPr>
        <w:t xml:space="preserve">),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w:t>
      </w:r>
      <w:proofErr w:type="spellStart"/>
      <w:r w:rsidRPr="006F6B75">
        <w:rPr>
          <w:rFonts w:ascii="Times New Roman" w:eastAsia="Times New Roman" w:hAnsi="Times New Roman" w:cs="Times New Roman"/>
          <w:sz w:val="24"/>
          <w:szCs w:val="24"/>
          <w:lang w:eastAsia="es-CO"/>
        </w:rPr>
        <w:t>preoperación</w:t>
      </w:r>
      <w:proofErr w:type="spellEnd"/>
      <w:r w:rsidRPr="006F6B75">
        <w:rPr>
          <w:rFonts w:ascii="Times New Roman" w:eastAsia="Times New Roman" w:hAnsi="Times New Roman" w:cs="Times New Roman"/>
          <w:sz w:val="24"/>
          <w:szCs w:val="24"/>
          <w:lang w:eastAsia="es-CO"/>
        </w:rPr>
        <w:t xml:space="preserve">, ejecución, operación, mantenimiento e interventoría, en los términos establecidos por el manual operativo de Obras por Impuestos, según el caso. También podrán ser considerados proyectos en jurisdicciones </w:t>
      </w:r>
      <w:proofErr w:type="gramStart"/>
      <w:r w:rsidRPr="006F6B75">
        <w:rPr>
          <w:rFonts w:ascii="Times New Roman" w:eastAsia="Times New Roman" w:hAnsi="Times New Roman" w:cs="Times New Roman"/>
          <w:sz w:val="24"/>
          <w:szCs w:val="24"/>
          <w:lang w:eastAsia="es-CO"/>
        </w:rPr>
        <w:t>que</w:t>
      </w:r>
      <w:proofErr w:type="gramEnd"/>
      <w:r w:rsidRPr="006F6B75">
        <w:rPr>
          <w:rFonts w:ascii="Times New Roman" w:eastAsia="Times New Roman" w:hAnsi="Times New Roman" w:cs="Times New Roman"/>
          <w:sz w:val="24"/>
          <w:szCs w:val="24"/>
          <w:lang w:eastAsia="es-CO"/>
        </w:rPr>
        <w:t xml:space="preserve"> sin estar localizadas en las </w:t>
      </w:r>
      <w:proofErr w:type="spellStart"/>
      <w:r w:rsidRPr="006F6B75">
        <w:rPr>
          <w:rFonts w:ascii="Times New Roman" w:eastAsia="Times New Roman" w:hAnsi="Times New Roman" w:cs="Times New Roman"/>
          <w:sz w:val="24"/>
          <w:szCs w:val="24"/>
          <w:lang w:eastAsia="es-CO"/>
        </w:rPr>
        <w:t>Zomac</w:t>
      </w:r>
      <w:proofErr w:type="spellEnd"/>
      <w:r w:rsidRPr="006F6B75">
        <w:rPr>
          <w:rFonts w:ascii="Times New Roman" w:eastAsia="Times New Roman" w:hAnsi="Times New Roman" w:cs="Times New Roman"/>
          <w:sz w:val="24"/>
          <w:szCs w:val="24"/>
          <w:lang w:eastAsia="es-CO"/>
        </w:rPr>
        <w:t xml:space="preserve">, de acuerdo con el concepto de la Agencia de Renovación del Territorio, resulten estratégicos para la reactivación económica y/o social de las </w:t>
      </w:r>
      <w:proofErr w:type="spellStart"/>
      <w:r w:rsidRPr="006F6B75">
        <w:rPr>
          <w:rFonts w:ascii="Times New Roman" w:eastAsia="Times New Roman" w:hAnsi="Times New Roman" w:cs="Times New Roman"/>
          <w:sz w:val="24"/>
          <w:szCs w:val="24"/>
          <w:lang w:eastAsia="es-CO"/>
        </w:rPr>
        <w:t>Zomac</w:t>
      </w:r>
      <w:proofErr w:type="spellEnd"/>
      <w:r w:rsidRPr="006F6B75">
        <w:rPr>
          <w:rFonts w:ascii="Times New Roman" w:eastAsia="Times New Roman" w:hAnsi="Times New Roman" w:cs="Times New Roman"/>
          <w:sz w:val="24"/>
          <w:szCs w:val="24"/>
          <w:lang w:eastAsia="es-CO"/>
        </w:rPr>
        <w:t xml:space="preserve"> o algunas de ellas.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Para este fin, la Agencia de Renovación del Territorio (ART) deberá llevar actualizada una lista de iniciativas susceptibles de contar con viabilidad técnica y presupuestal para conformar el banco de proyectos a realizar en los diferentes municipios definidos como </w:t>
      </w:r>
      <w:proofErr w:type="spellStart"/>
      <w:r w:rsidRPr="006F6B75">
        <w:rPr>
          <w:rFonts w:ascii="Times New Roman" w:eastAsia="Times New Roman" w:hAnsi="Times New Roman" w:cs="Times New Roman"/>
          <w:sz w:val="24"/>
          <w:szCs w:val="24"/>
          <w:lang w:eastAsia="es-CO"/>
        </w:rPr>
        <w:t>Zomac</w:t>
      </w:r>
      <w:proofErr w:type="spellEnd"/>
      <w:r w:rsidRPr="006F6B75">
        <w:rPr>
          <w:rFonts w:ascii="Times New Roman" w:eastAsia="Times New Roman" w:hAnsi="Times New Roman" w:cs="Times New Roman"/>
          <w:sz w:val="24"/>
          <w:szCs w:val="24"/>
          <w:lang w:eastAsia="es-CO"/>
        </w:rPr>
        <w:t>,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el desarrollo del presente mecanismo de pago del impuesto sobre la renta se tendrán en cuenta los siguientes aspectos y procedimientos: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1. Manifestación de interés por parte del contribuyente.</w:t>
      </w:r>
      <w:r w:rsidRPr="006F6B75">
        <w:rPr>
          <w:rFonts w:ascii="Times New Roman" w:eastAsia="Times New Roman" w:hAnsi="Times New Roman" w:cs="Times New Roman"/>
          <w:sz w:val="24"/>
          <w:szCs w:val="24"/>
          <w:lang w:eastAsia="es-CO"/>
        </w:rPr>
        <w:t xml:space="preserv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En la misma manifestación deberá informar desde qué etapa de estructuración va a desarrollar el proyecto y los gastos de </w:t>
      </w:r>
      <w:proofErr w:type="spellStart"/>
      <w:r w:rsidRPr="006F6B75">
        <w:rPr>
          <w:rFonts w:ascii="Times New Roman" w:eastAsia="Times New Roman" w:hAnsi="Times New Roman" w:cs="Times New Roman"/>
          <w:sz w:val="24"/>
          <w:szCs w:val="24"/>
          <w:lang w:eastAsia="es-CO"/>
        </w:rPr>
        <w:t>preinversión</w:t>
      </w:r>
      <w:proofErr w:type="spellEnd"/>
      <w:r w:rsidRPr="006F6B75">
        <w:rPr>
          <w:rFonts w:ascii="Times New Roman" w:eastAsia="Times New Roman" w:hAnsi="Times New Roman" w:cs="Times New Roman"/>
          <w:sz w:val="24"/>
          <w:szCs w:val="24"/>
          <w:lang w:eastAsia="es-CO"/>
        </w:rPr>
        <w:t xml:space="preserve">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2. Estructuración de iniciativas por parte del Contribuyente.</w:t>
      </w:r>
      <w:r w:rsidRPr="006F6B75">
        <w:rPr>
          <w:rFonts w:ascii="Times New Roman" w:eastAsia="Times New Roman" w:hAnsi="Times New Roman" w:cs="Times New Roman"/>
          <w:sz w:val="24"/>
          <w:szCs w:val="24"/>
          <w:lang w:eastAsia="es-CO"/>
        </w:rPr>
        <w:t>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 xml:space="preserve">3. </w:t>
      </w:r>
      <w:proofErr w:type="spellStart"/>
      <w:r w:rsidRPr="006F6B75">
        <w:rPr>
          <w:rFonts w:ascii="Times New Roman" w:eastAsia="Times New Roman" w:hAnsi="Times New Roman" w:cs="Times New Roman"/>
          <w:b/>
          <w:bCs/>
          <w:sz w:val="24"/>
          <w:szCs w:val="24"/>
          <w:lang w:eastAsia="es-CO"/>
        </w:rPr>
        <w:t>Viabilización</w:t>
      </w:r>
      <w:proofErr w:type="spellEnd"/>
      <w:r w:rsidRPr="006F6B75">
        <w:rPr>
          <w:rFonts w:ascii="Times New Roman" w:eastAsia="Times New Roman" w:hAnsi="Times New Roman" w:cs="Times New Roman"/>
          <w:b/>
          <w:bCs/>
          <w:sz w:val="24"/>
          <w:szCs w:val="24"/>
          <w:lang w:eastAsia="es-CO"/>
        </w:rPr>
        <w:t xml:space="preserve"> de iniciativas.</w:t>
      </w:r>
      <w:r w:rsidRPr="006F6B75">
        <w:rPr>
          <w:rFonts w:ascii="Times New Roman" w:eastAsia="Times New Roman" w:hAnsi="Times New Roman" w:cs="Times New Roman"/>
          <w:sz w:val="24"/>
          <w:szCs w:val="24"/>
          <w:lang w:eastAsia="es-CO"/>
        </w:rPr>
        <w:t> Posterior a la manifestación del interés por parte del contribuyente sobre una o más iniciativas, la Entidad Nacional Competente y el Departamento Nacional de Planeación (DNP) realizarán los trámites necesarios para emitir los conceptos de viabilidad del o los proyectos conforme con la normatividad vigente.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4. Aprobación para la suscripción del convenio.</w:t>
      </w:r>
      <w:r w:rsidRPr="006F6B75">
        <w:rPr>
          <w:rFonts w:ascii="Times New Roman" w:eastAsia="Times New Roman" w:hAnsi="Times New Roman" w:cs="Times New Roman"/>
          <w:sz w:val="24"/>
          <w:szCs w:val="24"/>
          <w:lang w:eastAsia="es-CO"/>
        </w:rPr>
        <w:t> Emitidos los conceptos de viabilidad del proyecto, la ART aprobará mediante acto administrativo la suscripción del convenio para la ejecución del proyecto, contra el cual no procederá recurso alguno.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5. Suscripción del convenio.</w:t>
      </w:r>
      <w:r w:rsidRPr="006F6B75">
        <w:rPr>
          <w:rFonts w:ascii="Times New Roman" w:eastAsia="Times New Roman" w:hAnsi="Times New Roman" w:cs="Times New Roman"/>
          <w:sz w:val="24"/>
          <w:szCs w:val="24"/>
          <w:lang w:eastAsia="es-CO"/>
        </w:rPr>
        <w:t>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6. Reglas del Convenio.</w:t>
      </w:r>
      <w:r w:rsidRPr="006F6B75">
        <w:rPr>
          <w:rFonts w:ascii="Times New Roman" w:eastAsia="Times New Roman" w:hAnsi="Times New Roman" w:cs="Times New Roman"/>
          <w:sz w:val="24"/>
          <w:szCs w:val="24"/>
          <w:lang w:eastAsia="es-CO"/>
        </w:rPr>
        <w:t> La celebración del convenio estará sujeta a las siguientes reglas: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 Interventoría.</w:t>
      </w:r>
      <w:r w:rsidRPr="006F6B75">
        <w:rPr>
          <w:rFonts w:ascii="Times New Roman" w:eastAsia="Times New Roman" w:hAnsi="Times New Roman" w:cs="Times New Roman"/>
          <w:sz w:val="24"/>
          <w:szCs w:val="24"/>
          <w:lang w:eastAsia="es-CO"/>
        </w:rPr>
        <w:t>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b) Supervisión.</w:t>
      </w:r>
      <w:r w:rsidRPr="006F6B75">
        <w:rPr>
          <w:rFonts w:ascii="Times New Roman" w:eastAsia="Times New Roman" w:hAnsi="Times New Roman" w:cs="Times New Roman"/>
          <w:sz w:val="24"/>
          <w:szCs w:val="24"/>
          <w:lang w:eastAsia="es-CO"/>
        </w:rPr>
        <w:t> La Entidad Nacional Competente realizará la supervisión del convenio de obras por impuestos y del contrato de interventoría;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 Garantías.</w:t>
      </w:r>
      <w:r w:rsidRPr="006F6B75">
        <w:rPr>
          <w:rFonts w:ascii="Times New Roman" w:eastAsia="Times New Roman" w:hAnsi="Times New Roman" w:cs="Times New Roman"/>
          <w:sz w:val="24"/>
          <w:szCs w:val="24"/>
          <w:lang w:eastAsia="es-CO"/>
        </w:rPr>
        <w:t> La Entidad Nacional Competente deberá establecer la suficiencia de las garantías para amparar como mínimo el cumplimiento del proyecto, la estabilidad de la obra o calidad y correcto funcionamiento de los bienes según corresponda.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El contratista deberá constituir las garantías exigidas para la ejecución del proyecto, en caso de realizarlo directamente, o deberá </w:t>
      </w:r>
      <w:proofErr w:type="gramStart"/>
      <w:r w:rsidRPr="006F6B75">
        <w:rPr>
          <w:rFonts w:ascii="Times New Roman" w:eastAsia="Times New Roman" w:hAnsi="Times New Roman" w:cs="Times New Roman"/>
          <w:sz w:val="24"/>
          <w:szCs w:val="24"/>
          <w:lang w:eastAsia="es-CO"/>
        </w:rPr>
        <w:t>exigirle</w:t>
      </w:r>
      <w:proofErr w:type="gramEnd"/>
      <w:r w:rsidRPr="006F6B75">
        <w:rPr>
          <w:rFonts w:ascii="Times New Roman" w:eastAsia="Times New Roman" w:hAnsi="Times New Roman" w:cs="Times New Roman"/>
          <w:sz w:val="24"/>
          <w:szCs w:val="24"/>
          <w:lang w:eastAsia="es-CO"/>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d) Naturaleza de los recursos para la ejecución del proyecto.</w:t>
      </w:r>
      <w:r w:rsidRPr="006F6B75">
        <w:rPr>
          <w:rFonts w:ascii="Times New Roman" w:eastAsia="Times New Roman" w:hAnsi="Times New Roman" w:cs="Times New Roman"/>
          <w:sz w:val="24"/>
          <w:szCs w:val="24"/>
          <w:lang w:eastAsia="es-CO"/>
        </w:rPr>
        <w:t> Los contribuyentes realizarán los proyectos con recursos propios, cuyo tratamiento corresponderá a la naturaleza jurídica del contribuyente;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e) Subcontratos.</w:t>
      </w:r>
      <w:r w:rsidRPr="006F6B75">
        <w:rPr>
          <w:rFonts w:ascii="Times New Roman" w:eastAsia="Times New Roman" w:hAnsi="Times New Roman" w:cs="Times New Roman"/>
          <w:sz w:val="24"/>
          <w:szCs w:val="24"/>
          <w:lang w:eastAsia="es-CO"/>
        </w:rPr>
        <w:t xml:space="preserve"> En caso que el contribuyente deba subcontratar con terceros para la realización del proyecto, a dichos contratos les será aplicable el régimen de contratación </w:t>
      </w:r>
      <w:r w:rsidRPr="006F6B75">
        <w:rPr>
          <w:rFonts w:ascii="Times New Roman" w:eastAsia="Times New Roman" w:hAnsi="Times New Roman" w:cs="Times New Roman"/>
          <w:sz w:val="24"/>
          <w:szCs w:val="24"/>
          <w:lang w:eastAsia="es-CO"/>
        </w:rPr>
        <w:lastRenderedPageBreak/>
        <w:t>correspondiente a la naturaleza jurídica del contribuyente y no vincularán a las entidades públicas que suscriban el convenio principal;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f) Condiciones del Convenio y de los subcontratos.</w:t>
      </w:r>
      <w:r w:rsidRPr="006F6B75">
        <w:rPr>
          <w:rFonts w:ascii="Times New Roman" w:eastAsia="Times New Roman" w:hAnsi="Times New Roman" w:cs="Times New Roman"/>
          <w:sz w:val="24"/>
          <w:szCs w:val="24"/>
          <w:lang w:eastAsia="es-CO"/>
        </w:rPr>
        <w:t>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En caso de que los subcontratos sean celebrados con vinculados económicos del suscriptor, el respectivo convenio señalará las condiciones bajo las cuales se garantizará la transparencia en la ejecución y la definición de los costos del proyecto;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g) Ejecución directa por parte del contribuyente.</w:t>
      </w:r>
      <w:r w:rsidRPr="006F6B75">
        <w:rPr>
          <w:rFonts w:ascii="Times New Roman" w:eastAsia="Times New Roman" w:hAnsi="Times New Roman" w:cs="Times New Roman"/>
          <w:sz w:val="24"/>
          <w:szCs w:val="24"/>
          <w:lang w:eastAsia="es-CO"/>
        </w:rPr>
        <w:t> En caso de que el mismo contribuyente desarrolle el proyecto, los bienes y servicios que incorpore serán valorados a precios de mercado, de acuerdo con lo previsto en el literal anterior;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h) Tratamiento tributario y contable de los convenios celebrados.</w:t>
      </w:r>
      <w:r w:rsidRPr="006F6B75">
        <w:rPr>
          <w:rFonts w:ascii="Times New Roman" w:eastAsia="Times New Roman" w:hAnsi="Times New Roman" w:cs="Times New Roman"/>
          <w:sz w:val="24"/>
          <w:szCs w:val="24"/>
          <w:lang w:eastAsia="es-CO"/>
        </w:rPr>
        <w:t>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obras por impuestos no tendrán derecho a los beneficios establecidos en los artículos </w:t>
      </w:r>
      <w:hyperlink r:id="rId200" w:tooltip="Estatuto Tributario CETA" w:history="1">
        <w:r w:rsidRPr="006F6B75">
          <w:rPr>
            <w:rFonts w:ascii="Times New Roman" w:eastAsia="Times New Roman" w:hAnsi="Times New Roman" w:cs="Times New Roman"/>
            <w:sz w:val="24"/>
            <w:szCs w:val="24"/>
            <w:lang w:eastAsia="es-CO"/>
          </w:rPr>
          <w:t>258-1</w:t>
        </w:r>
      </w:hyperlink>
      <w:r w:rsidRPr="006F6B75">
        <w:rPr>
          <w:rFonts w:ascii="Times New Roman" w:eastAsia="Times New Roman" w:hAnsi="Times New Roman" w:cs="Times New Roman"/>
          <w:sz w:val="24"/>
          <w:szCs w:val="24"/>
          <w:lang w:eastAsia="es-CO"/>
        </w:rPr>
        <w:t> y demás consagrados en 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 Modificaciones y adiciones.</w:t>
      </w:r>
      <w:r w:rsidRPr="006F6B75">
        <w:rPr>
          <w:rFonts w:ascii="Times New Roman" w:eastAsia="Times New Roman" w:hAnsi="Times New Roman" w:cs="Times New Roman"/>
          <w:sz w:val="24"/>
          <w:szCs w:val="24"/>
          <w:lang w:eastAsia="es-CO"/>
        </w:rPr>
        <w:t>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además, los efectos de los eventos eximentes de responsabilidad, así como la matriz de riesgos del convenio.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convenio desarrollará los efectos de los eximentes de responsabilidad de fuerza mayor y caso fortuito. El Gobierno Nacional establecerá el procedimiento para su declaratoria;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j) Cesiones.</w:t>
      </w:r>
      <w:r w:rsidRPr="006F6B75">
        <w:rPr>
          <w:rFonts w:ascii="Times New Roman" w:eastAsia="Times New Roman" w:hAnsi="Times New Roman" w:cs="Times New Roman"/>
          <w:sz w:val="24"/>
          <w:szCs w:val="24"/>
          <w:lang w:eastAsia="es-CO"/>
        </w:rPr>
        <w:t> Los convenios de obras por impuestos podrán ser cedidos previa la aprobación de la Entidad Nacional Competente;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k) Incumplimiento.</w:t>
      </w:r>
      <w:r w:rsidRPr="006F6B75">
        <w:rPr>
          <w:rFonts w:ascii="Times New Roman" w:eastAsia="Times New Roman" w:hAnsi="Times New Roman" w:cs="Times New Roman"/>
          <w:sz w:val="24"/>
          <w:szCs w:val="24"/>
          <w:lang w:eastAsia="es-CO"/>
        </w:rPr>
        <w:t>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l) Régimen jurídico aplicable y solución de controversias contractuales.</w:t>
      </w:r>
      <w:r w:rsidRPr="006F6B75">
        <w:rPr>
          <w:rFonts w:ascii="Times New Roman" w:eastAsia="Times New Roman" w:hAnsi="Times New Roman" w:cs="Times New Roman"/>
          <w:sz w:val="24"/>
          <w:szCs w:val="24"/>
          <w:lang w:eastAsia="es-CO"/>
        </w:rPr>
        <w:t> Los convenios celebrados de conformidad con la presente disposición se regirán por las normas de derecho privado. En los convenios podrán incluirse cláusulas compromisorias que se regirán por lo establecido en la Ley 1563 de 2012 o la que la modifique o sustituya;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m) Publicidad.</w:t>
      </w:r>
      <w:r w:rsidRPr="006F6B75">
        <w:rPr>
          <w:rFonts w:ascii="Times New Roman" w:eastAsia="Times New Roman" w:hAnsi="Times New Roman" w:cs="Times New Roman"/>
          <w:sz w:val="24"/>
          <w:szCs w:val="24"/>
          <w:lang w:eastAsia="es-CO"/>
        </w:rPr>
        <w:t xml:space="preserve">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w:t>
      </w:r>
      <w:r w:rsidRPr="006F6B75">
        <w:rPr>
          <w:rFonts w:ascii="Times New Roman" w:eastAsia="Times New Roman" w:hAnsi="Times New Roman" w:cs="Times New Roman"/>
          <w:sz w:val="24"/>
          <w:szCs w:val="24"/>
          <w:lang w:eastAsia="es-CO"/>
        </w:rPr>
        <w:lastRenderedPageBreak/>
        <w:t>tiempo de ejecución del proyecto según el caso y el tiempo adicional que se indique en el convenio;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n) Títulos para la Renovación del Territorio (TRT).</w:t>
      </w:r>
      <w:r w:rsidRPr="006F6B75">
        <w:rPr>
          <w:rFonts w:ascii="Times New Roman" w:eastAsia="Times New Roman" w:hAnsi="Times New Roman" w:cs="Times New Roman"/>
          <w:sz w:val="24"/>
          <w:szCs w:val="24"/>
          <w:lang w:eastAsia="es-CO"/>
        </w:rPr>
        <w: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TRT una vez utilizados, computarán dentro de las metas de recaudo de la Dirección de Impuestos y Aduanas Nacionales (DIAN). Estos títulos, podrán ser utilizados por su tenedor para pagar hasta el 50% del impuesto sobre la renta y complementarios.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 </w:t>
      </w:r>
      <w:r w:rsidRPr="006F6B75">
        <w:rPr>
          <w:rFonts w:ascii="Times New Roman" w:eastAsia="Times New Roman" w:hAnsi="Times New Roman" w:cs="Times New Roman"/>
          <w:sz w:val="24"/>
          <w:szCs w:val="24"/>
          <w:lang w:eastAsia="es-CO"/>
        </w:rPr>
        <w:t>Las personas jurídicas que tengan deudas por concepto del impuesto sobre la renta, podrán asumir el pago de las mismas a través de los TRT.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El mecanismo previsto en el presente artículo podrá ser usado de manera conjunta por varios contribuyentes para la realización de un mismo proyecto.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 </w:t>
      </w:r>
      <w:r w:rsidRPr="006F6B75">
        <w:rPr>
          <w:rFonts w:ascii="Times New Roman" w:eastAsia="Times New Roman" w:hAnsi="Times New Roman" w:cs="Times New Roman"/>
          <w:sz w:val="24"/>
          <w:szCs w:val="24"/>
          <w:lang w:eastAsia="es-CO"/>
        </w:rPr>
        <w:t>El Consejo Superior de Política Económica y Fiscal (</w:t>
      </w:r>
      <w:proofErr w:type="spellStart"/>
      <w:r w:rsidRPr="006F6B75">
        <w:rPr>
          <w:rFonts w:ascii="Times New Roman" w:eastAsia="Times New Roman" w:hAnsi="Times New Roman" w:cs="Times New Roman"/>
          <w:sz w:val="24"/>
          <w:szCs w:val="24"/>
          <w:lang w:eastAsia="es-CO"/>
        </w:rPr>
        <w:t>Confis</w:t>
      </w:r>
      <w:proofErr w:type="spellEnd"/>
      <w:r w:rsidRPr="006F6B75">
        <w:rPr>
          <w:rFonts w:ascii="Times New Roman" w:eastAsia="Times New Roman" w:hAnsi="Times New Roman" w:cs="Times New Roman"/>
          <w:sz w:val="24"/>
          <w:szCs w:val="24"/>
          <w:lang w:eastAsia="es-CO"/>
        </w:rPr>
        <w:t>) aprobará el cupo máximo de aprobación de proyectos, a cargo de los cuales se podrán celebrar los convenios establecidos en la presente regulación.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 </w:t>
      </w:r>
      <w:r w:rsidRPr="006F6B75">
        <w:rPr>
          <w:rFonts w:ascii="Times New Roman" w:eastAsia="Times New Roman" w:hAnsi="Times New Roman" w:cs="Times New Roman"/>
          <w:sz w:val="24"/>
          <w:szCs w:val="24"/>
          <w:lang w:eastAsia="es-CO"/>
        </w:rPr>
        <w:t>Los contribuyentes no podrán realizar proyectos a los que se refiere la presente disposición, que correspondan a los 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de obras por impuestos que se encuentren vinculados al desarrollo de su objeto social.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La presente disposición será reglamentada, en su integridad, en un término de 6 meses contados a partir de la vigencia de la presente ley.</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V</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Impuesto sobre la renta para personas jurídicas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72.</w:t>
      </w:r>
      <w:r w:rsidRPr="006F6B75">
        <w:rPr>
          <w:rFonts w:ascii="Times New Roman" w:eastAsia="Times New Roman" w:hAnsi="Times New Roman" w:cs="Times New Roman"/>
          <w:sz w:val="24"/>
          <w:szCs w:val="24"/>
          <w:lang w:eastAsia="es-CO"/>
        </w:rPr>
        <w:t> Modifíquese el numeral 3, adiciónense el literal f) y los parágrafos 3°, 4° y 5° al </w:t>
      </w:r>
      <w:hyperlink r:id="rId201" w:tooltip="Estatuto Tributario CETA" w:history="1">
        <w:r w:rsidRPr="006F6B75">
          <w:rPr>
            <w:rFonts w:ascii="Times New Roman" w:eastAsia="Times New Roman" w:hAnsi="Times New Roman" w:cs="Times New Roman"/>
            <w:sz w:val="24"/>
            <w:szCs w:val="24"/>
            <w:lang w:eastAsia="es-CO"/>
          </w:rPr>
          <w:t>artículo 18-1</w:t>
        </w:r>
      </w:hyperlink>
      <w:r w:rsidRPr="006F6B75">
        <w:rPr>
          <w:rFonts w:ascii="Times New Roman" w:eastAsia="Times New Roman" w:hAnsi="Times New Roman" w:cs="Times New Roman"/>
          <w:sz w:val="24"/>
          <w:szCs w:val="24"/>
          <w:lang w:eastAsia="es-CO"/>
        </w:rPr>
        <w:t> al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los ingresos correspondan a dividendos determinados de conformidad con el numeral tercero del </w:t>
      </w:r>
      <w:hyperlink r:id="rId202" w:tooltip="Estatuto Tributario CETA" w:history="1">
        <w:r w:rsidRPr="006F6B75">
          <w:rPr>
            <w:rFonts w:ascii="Times New Roman" w:eastAsia="Times New Roman" w:hAnsi="Times New Roman" w:cs="Times New Roman"/>
            <w:sz w:val="24"/>
            <w:szCs w:val="24"/>
            <w:lang w:eastAsia="es-CO"/>
          </w:rPr>
          <w:t>artículo 49</w:t>
        </w:r>
      </w:hyperlink>
      <w:r w:rsidRPr="006F6B75">
        <w:rPr>
          <w:rFonts w:ascii="Times New Roman" w:eastAsia="Times New Roman" w:hAnsi="Times New Roman" w:cs="Times New Roman"/>
          <w:sz w:val="24"/>
          <w:szCs w:val="24"/>
          <w:lang w:eastAsia="es-CO"/>
        </w:rPr>
        <w:t xml:space="preserve"> del Estatuto Tributario, la retención en la fuente será practicada por la sociedad pagadora del dividendo al momento del pago o abono en cuenta, en cuyo caso la </w:t>
      </w:r>
      <w:r w:rsidRPr="006F6B75">
        <w:rPr>
          <w:rFonts w:ascii="Times New Roman" w:eastAsia="Times New Roman" w:hAnsi="Times New Roman" w:cs="Times New Roman"/>
          <w:sz w:val="24"/>
          <w:szCs w:val="24"/>
          <w:lang w:eastAsia="es-CO"/>
        </w:rPr>
        <w:lastRenderedPageBreak/>
        <w:t>tarifa aplicable corresponderá a la establecida en el inciso primero del </w:t>
      </w:r>
      <w:hyperlink r:id="rId203" w:tooltip="Estatuto Tributario CETA" w:history="1">
        <w:r w:rsidRPr="006F6B75">
          <w:rPr>
            <w:rFonts w:ascii="Times New Roman" w:eastAsia="Times New Roman" w:hAnsi="Times New Roman" w:cs="Times New Roman"/>
            <w:sz w:val="24"/>
            <w:szCs w:val="24"/>
            <w:lang w:eastAsia="es-CO"/>
          </w:rPr>
          <w:t>artículo 245</w:t>
        </w:r>
      </w:hyperlink>
      <w:r w:rsidRPr="006F6B75">
        <w:rPr>
          <w:rFonts w:ascii="Times New Roman" w:eastAsia="Times New Roman" w:hAnsi="Times New Roman" w:cs="Times New Roman"/>
          <w:sz w:val="24"/>
          <w:szCs w:val="24"/>
          <w:lang w:eastAsia="es-CO"/>
        </w:rPr>
        <w:t> del mismo Estatuto.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los ingresos correspondan a dividendos gravados de conformidad con lo establecido en el parágrafo 2° del </w:t>
      </w:r>
      <w:hyperlink r:id="rId204" w:tooltip="Estatuto Tributario CETA" w:history="1">
        <w:r w:rsidRPr="006F6B75">
          <w:rPr>
            <w:rFonts w:ascii="Times New Roman" w:eastAsia="Times New Roman" w:hAnsi="Times New Roman" w:cs="Times New Roman"/>
            <w:sz w:val="24"/>
            <w:szCs w:val="24"/>
            <w:lang w:eastAsia="es-CO"/>
          </w:rPr>
          <w:t>artículo 49</w:t>
        </w:r>
      </w:hyperlink>
      <w:r w:rsidRPr="006F6B75">
        <w:rPr>
          <w:rFonts w:ascii="Times New Roman" w:eastAsia="Times New Roman" w:hAnsi="Times New Roman" w:cs="Times New Roman"/>
          <w:sz w:val="24"/>
          <w:szCs w:val="24"/>
          <w:lang w:eastAsia="es-CO"/>
        </w:rPr>
        <w:t> del Estatuto Tributario, la retención en la fuente será practicada por la sociedad pagadora del dividendo al momento del pago o abono en cuenta, en cuyo caso la tarifa de retención será del veinticinco por ciento (25%), y sobre el remanente se aplicará los dispuesto en el inciso anterior de este numeral;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Cuando se trate de valores de renta fija pública o privada, o derivados financieros con subyacente en valores de renta fija, la tarifa de retención en la fuente será del cinco por ciento (5%).</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w:t>
      </w:r>
      <w:r w:rsidRPr="006F6B75">
        <w:rPr>
          <w:rFonts w:ascii="Times New Roman" w:eastAsia="Times New Roman" w:hAnsi="Times New Roman" w:cs="Times New Roman"/>
          <w:sz w:val="24"/>
          <w:szCs w:val="24"/>
          <w:lang w:eastAsia="es-CO"/>
        </w:rPr>
        <w:t> El administrador de las inversiones de portafolio estará obligado a entregar a las autoridades de impuestos, cuando sea requerido, información sobre el beneficiario final de las inversiones.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w:t>
      </w:r>
      <w:r w:rsidRPr="006F6B75">
        <w:rPr>
          <w:rFonts w:ascii="Times New Roman" w:eastAsia="Times New Roman" w:hAnsi="Times New Roman" w:cs="Times New Roman"/>
          <w:sz w:val="24"/>
          <w:szCs w:val="24"/>
          <w:lang w:eastAsia="es-CO"/>
        </w:rPr>
        <w:t> Las normas de este artículo no son aplicables a las inversiones provenientes del exterior, que tengan como beneficiario final un residente fiscal en Colombia que tenga control sobre dichas inversiones.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w:t>
      </w:r>
      <w:r w:rsidRPr="006F6B75">
        <w:rPr>
          <w:rFonts w:ascii="Times New Roman" w:eastAsia="Times New Roman" w:hAnsi="Times New Roman" w:cs="Times New Roman"/>
          <w:sz w:val="24"/>
          <w:szCs w:val="24"/>
          <w:lang w:eastAsia="es-CO"/>
        </w:rPr>
        <w:t> Se entiende que un residente fiscal en Colombia controla las entidades de inversión del exterior cuando se cumple alguno de los criterios de vinculación señalados en el </w:t>
      </w:r>
      <w:hyperlink r:id="rId205" w:tooltip="Estatuto Tributario CETA" w:history="1">
        <w:r w:rsidRPr="006F6B75">
          <w:rPr>
            <w:rFonts w:ascii="Times New Roman" w:eastAsia="Times New Roman" w:hAnsi="Times New Roman" w:cs="Times New Roman"/>
            <w:sz w:val="24"/>
            <w:szCs w:val="24"/>
            <w:lang w:eastAsia="es-CO"/>
          </w:rPr>
          <w:t>artículo 260-1</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73.</w:t>
      </w:r>
      <w:r w:rsidRPr="006F6B75">
        <w:rPr>
          <w:rFonts w:ascii="Times New Roman" w:eastAsia="Times New Roman" w:hAnsi="Times New Roman" w:cs="Times New Roman"/>
          <w:sz w:val="24"/>
          <w:szCs w:val="24"/>
          <w:lang w:eastAsia="es-CO"/>
        </w:rPr>
        <w:t> Modifíquese el </w:t>
      </w:r>
      <w:hyperlink r:id="rId206" w:tooltip="Estatuto Tributario CETA" w:history="1">
        <w:r w:rsidRPr="006F6B75">
          <w:rPr>
            <w:rFonts w:ascii="Times New Roman" w:eastAsia="Times New Roman" w:hAnsi="Times New Roman" w:cs="Times New Roman"/>
            <w:sz w:val="24"/>
            <w:szCs w:val="24"/>
            <w:lang w:eastAsia="es-CO"/>
          </w:rPr>
          <w:t>artículo 22</w:t>
        </w:r>
      </w:hyperlink>
      <w:r w:rsidRPr="006F6B75">
        <w:rPr>
          <w:rFonts w:ascii="Times New Roman" w:eastAsia="Times New Roman" w:hAnsi="Times New Roman" w:cs="Times New Roman"/>
          <w:sz w:val="24"/>
          <w:szCs w:val="24"/>
          <w:lang w:eastAsia="es-CO"/>
        </w:rPr>
        <w:t> del Estatuto Tributario que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07" w:tooltip="Estatuto Tributario CETA" w:history="1">
        <w:r w:rsidR="00296598" w:rsidRPr="006F6B75">
          <w:rPr>
            <w:rFonts w:ascii="Times New Roman" w:eastAsia="Times New Roman" w:hAnsi="Times New Roman" w:cs="Times New Roman"/>
            <w:b/>
            <w:bCs/>
            <w:sz w:val="24"/>
            <w:szCs w:val="24"/>
            <w:lang w:eastAsia="es-CO"/>
          </w:rPr>
          <w:t>Artículo 22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Entidades que no son contribuyentes. </w:t>
      </w:r>
      <w:r w:rsidR="00296598" w:rsidRPr="006F6B75">
        <w:rPr>
          <w:rFonts w:ascii="Times New Roman" w:eastAsia="Times New Roman" w:hAnsi="Times New Roman" w:cs="Times New Roman"/>
          <w:sz w:val="24"/>
          <w:szCs w:val="24"/>
          <w:lang w:eastAsia="es-CO"/>
        </w:rPr>
        <w:t>No son contribuyentes del impuesto sobre la renta y complementarios y no deberán cumplir el deber formal de presentar declaración de ingresos y patrimonio, de acuerdo con el </w:t>
      </w:r>
      <w:hyperlink r:id="rId208" w:tooltip="Estatuto Tributario CETA" w:history="1">
        <w:r w:rsidR="00296598" w:rsidRPr="006F6B75">
          <w:rPr>
            <w:rFonts w:ascii="Times New Roman" w:eastAsia="Times New Roman" w:hAnsi="Times New Roman" w:cs="Times New Roman"/>
            <w:sz w:val="24"/>
            <w:szCs w:val="24"/>
            <w:lang w:eastAsia="es-CO"/>
          </w:rPr>
          <w:t>artículo 598</w:t>
        </w:r>
      </w:hyperlink>
      <w:r w:rsidR="00296598" w:rsidRPr="006F6B75">
        <w:rPr>
          <w:rFonts w:ascii="Times New Roman" w:eastAsia="Times New Roman" w:hAnsi="Times New Roman" w:cs="Times New Roman"/>
          <w:sz w:val="24"/>
          <w:szCs w:val="24"/>
          <w:lang w:eastAsia="es-CO"/>
        </w:rPr>
        <w:t>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Así mismo, serán no contribuyentes no declarantes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Tampoco serán contribuyentes ni declarantes los resguardos y cabildos indígenas, ni la propiedad colectiva de las comunidades negras conforme a la Ley 70 de 1993.</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74.</w:t>
      </w:r>
      <w:r w:rsidRPr="006F6B75">
        <w:rPr>
          <w:rFonts w:ascii="Times New Roman" w:eastAsia="Times New Roman" w:hAnsi="Times New Roman" w:cs="Times New Roman"/>
          <w:sz w:val="24"/>
          <w:szCs w:val="24"/>
          <w:lang w:eastAsia="es-CO"/>
        </w:rPr>
        <w:t> Modifíquese el </w:t>
      </w:r>
      <w:hyperlink r:id="rId209" w:tooltip="Estatuto Tributario CETA" w:history="1">
        <w:r w:rsidRPr="006F6B75">
          <w:rPr>
            <w:rFonts w:ascii="Times New Roman" w:eastAsia="Times New Roman" w:hAnsi="Times New Roman" w:cs="Times New Roman"/>
            <w:sz w:val="24"/>
            <w:szCs w:val="24"/>
            <w:lang w:eastAsia="es-CO"/>
          </w:rPr>
          <w:t>artículo 25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10" w:tooltip="Estatuto Tributario CETA" w:history="1">
        <w:r w:rsidR="00296598" w:rsidRPr="006F6B75">
          <w:rPr>
            <w:rFonts w:ascii="Times New Roman" w:eastAsia="Times New Roman" w:hAnsi="Times New Roman" w:cs="Times New Roman"/>
            <w:b/>
            <w:bCs/>
            <w:sz w:val="24"/>
            <w:szCs w:val="24"/>
            <w:lang w:eastAsia="es-CO"/>
          </w:rPr>
          <w:t>Artículo 25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Ingresos que no se consideran de fuente nacional</w:t>
      </w:r>
      <w:r w:rsidR="00296598" w:rsidRPr="006F6B75">
        <w:rPr>
          <w:rFonts w:ascii="Times New Roman" w:eastAsia="Times New Roman" w:hAnsi="Times New Roman" w:cs="Times New Roman"/>
          <w:i/>
          <w:iCs/>
          <w:sz w:val="24"/>
          <w:szCs w:val="24"/>
          <w:lang w:eastAsia="es-CO"/>
        </w:rPr>
        <w:t>. </w:t>
      </w:r>
      <w:r w:rsidR="00296598" w:rsidRPr="006F6B75">
        <w:rPr>
          <w:rFonts w:ascii="Times New Roman" w:eastAsia="Times New Roman" w:hAnsi="Times New Roman" w:cs="Times New Roman"/>
          <w:sz w:val="24"/>
          <w:szCs w:val="24"/>
          <w:lang w:eastAsia="es-CO"/>
        </w:rPr>
        <w:t>No generan renta de fuente dentro del país: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Los siguientes créditos obtenidos en el exterior, los cuales tampoco se entienden poseídos en Colombia: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170994">
      <w:pPr>
        <w:pStyle w:val="Prrafodelista"/>
        <w:numPr>
          <w:ilvl w:val="0"/>
          <w:numId w:val="4"/>
        </w:num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créditos a corto plazo originados en la importación de mercancías y servicios y en sobregiros o descubiertos bancarios. Para estos efectos se entiende por corto plazo, un plazo máximo de 6 meses.</w:t>
      </w:r>
    </w:p>
    <w:p w:rsidR="00170994" w:rsidRPr="006F6B75" w:rsidRDefault="00170994" w:rsidP="00170994">
      <w:pPr>
        <w:pStyle w:val="Prrafodelista"/>
        <w:spacing w:after="0" w:line="240" w:lineRule="auto"/>
        <w:ind w:left="540"/>
        <w:jc w:val="both"/>
        <w:rPr>
          <w:rFonts w:ascii="Times New Roman" w:eastAsia="Times New Roman" w:hAnsi="Times New Roman" w:cs="Times New Roman"/>
          <w:sz w:val="24"/>
          <w:szCs w:val="24"/>
          <w:lang w:eastAsia="es-CO"/>
        </w:rPr>
      </w:pPr>
    </w:p>
    <w:p w:rsidR="00296598" w:rsidRPr="006F6B75" w:rsidRDefault="00296598" w:rsidP="00170994">
      <w:pPr>
        <w:pStyle w:val="Prrafodelista"/>
        <w:numPr>
          <w:ilvl w:val="0"/>
          <w:numId w:val="4"/>
        </w:num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créditos destinados a la financiación o prefinanciación de exportaciones.</w:t>
      </w:r>
    </w:p>
    <w:p w:rsidR="00170994" w:rsidRPr="006F6B75" w:rsidRDefault="00170994" w:rsidP="00170994">
      <w:pPr>
        <w:spacing w:after="0" w:line="240" w:lineRule="auto"/>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3. Los créditos que obtengan de no residentes, denominados y/o desembolsados en moneda legal o extranjera, las corporaciones financieras, las cooperativas financieras, las compañías de financiamiento comercial, los bancos, </w:t>
      </w:r>
      <w:proofErr w:type="spellStart"/>
      <w:r w:rsidRPr="006F6B75">
        <w:rPr>
          <w:rFonts w:ascii="Times New Roman" w:eastAsia="Times New Roman" w:hAnsi="Times New Roman" w:cs="Times New Roman"/>
          <w:sz w:val="24"/>
          <w:szCs w:val="24"/>
          <w:lang w:eastAsia="es-CO"/>
        </w:rPr>
        <w:t>Bancoldex</w:t>
      </w:r>
      <w:proofErr w:type="spellEnd"/>
      <w:r w:rsidRPr="006F6B75">
        <w:rPr>
          <w:rFonts w:ascii="Times New Roman" w:eastAsia="Times New Roman" w:hAnsi="Times New Roman" w:cs="Times New Roman"/>
          <w:sz w:val="24"/>
          <w:szCs w:val="24"/>
          <w:lang w:eastAsia="es-CO"/>
        </w:rPr>
        <w:t xml:space="preserve">, Finagro, Findeter y las sociedades mercantiles sometidas a la vigilancia de la Superintendencia de Sociedades bajo un régimen de regulación prudencial, cuyo objeto exclusivo sea la </w:t>
      </w:r>
      <w:proofErr w:type="spellStart"/>
      <w:r w:rsidRPr="006F6B75">
        <w:rPr>
          <w:rFonts w:ascii="Times New Roman" w:eastAsia="Times New Roman" w:hAnsi="Times New Roman" w:cs="Times New Roman"/>
          <w:sz w:val="24"/>
          <w:szCs w:val="24"/>
          <w:lang w:eastAsia="es-CO"/>
        </w:rPr>
        <w:t>originación</w:t>
      </w:r>
      <w:proofErr w:type="spellEnd"/>
      <w:r w:rsidRPr="006F6B75">
        <w:rPr>
          <w:rFonts w:ascii="Times New Roman" w:eastAsia="Times New Roman" w:hAnsi="Times New Roman" w:cs="Times New Roman"/>
          <w:sz w:val="24"/>
          <w:szCs w:val="24"/>
          <w:lang w:eastAsia="es-CO"/>
        </w:rPr>
        <w:t xml:space="preserve"> de créditos y cuyo endeudamiento sea destinado al desarrollo de su objeto social.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4. Los créditos para operaciones de comercio exterior e importación de servicios, realizados por intermedio de </w:t>
      </w:r>
      <w:proofErr w:type="spellStart"/>
      <w:r w:rsidRPr="006F6B75">
        <w:rPr>
          <w:rFonts w:ascii="Times New Roman" w:eastAsia="Times New Roman" w:hAnsi="Times New Roman" w:cs="Times New Roman"/>
          <w:sz w:val="24"/>
          <w:szCs w:val="24"/>
          <w:lang w:eastAsia="es-CO"/>
        </w:rPr>
        <w:t>Bancoldex</w:t>
      </w:r>
      <w:proofErr w:type="spellEnd"/>
      <w:r w:rsidRPr="006F6B75">
        <w:rPr>
          <w:rFonts w:ascii="Times New Roman" w:eastAsia="Times New Roman" w:hAnsi="Times New Roman" w:cs="Times New Roman"/>
          <w:sz w:val="24"/>
          <w:szCs w:val="24"/>
          <w:lang w:eastAsia="es-CO"/>
        </w:rPr>
        <w:t>, Finagro y Findeter.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intereses sobre los créditos a que hace referencia el presente literal, no están gravados con impuesto de renta. Quienes efectúen pagos o abonos en cuenta por concepto de tales intereses, no están obligados a efectuar retención en la fuente;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c) Los ingresos obtenidos de la enajenación de mercancías extranjeras de propiedad de sociedades extranjeras o personas sin residencia en el país, que se hayan introducido desde el exterior a Centros de Distribución de Logística Internacional, ubicados en aeropuertos internacionales, puertos marítimos y los fluviales ubicados únicamente en los departamentos de </w:t>
      </w:r>
      <w:proofErr w:type="spellStart"/>
      <w:r w:rsidRPr="006F6B75">
        <w:rPr>
          <w:rFonts w:ascii="Times New Roman" w:eastAsia="Times New Roman" w:hAnsi="Times New Roman" w:cs="Times New Roman"/>
          <w:sz w:val="24"/>
          <w:szCs w:val="24"/>
          <w:lang w:eastAsia="es-CO"/>
        </w:rPr>
        <w:t>Guanía</w:t>
      </w:r>
      <w:proofErr w:type="spellEnd"/>
      <w:r w:rsidRPr="006F6B75">
        <w:rPr>
          <w:rFonts w:ascii="Times New Roman" w:eastAsia="Times New Roman" w:hAnsi="Times New Roman" w:cs="Times New Roman"/>
          <w:sz w:val="24"/>
          <w:szCs w:val="24"/>
          <w:lang w:eastAsia="es-CO"/>
        </w:rPr>
        <w:t xml:space="preserve"> (Sic), Vaupés, Putumayo y Amazonas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Para las empresas residentes fiscales colombianas, se consideran ingresos de fuente extranjera aquellos provenientes del transporte aéreo o marítimo internacional;</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e) Los dividendos distribuidos por sociedades pertenecientes al régimen CHC a personas no residentes, siempre que dichos dividendos provengan de rentas atribuibles a actividades realizadas por entidades no residentes;</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La prima en colocación de acciones distribuida por sociedades pertenecientes al régimen CHC a personas no residentes, siempre que dicha prima provenga de rentas atribuibles a actividades realizadas por entidades no residentes;</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g) Las rentas derivadas de la venta o transmisión de las acciones de una CHC por parte de una persona no residente, respecto de la proporción de la venta correspondiente al valor creado por entidades no residentes.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75.</w:t>
      </w:r>
      <w:r w:rsidRPr="006F6B75">
        <w:rPr>
          <w:rFonts w:ascii="Times New Roman" w:eastAsia="Times New Roman" w:hAnsi="Times New Roman" w:cs="Times New Roman"/>
          <w:sz w:val="24"/>
          <w:szCs w:val="24"/>
          <w:lang w:eastAsia="es-CO"/>
        </w:rPr>
        <w:t> Adiciónese un parágrafo al </w:t>
      </w:r>
      <w:hyperlink r:id="rId211" w:tooltip="Estatuto Tributario CETA" w:history="1">
        <w:r w:rsidRPr="006F6B75">
          <w:rPr>
            <w:rFonts w:ascii="Times New Roman" w:eastAsia="Times New Roman" w:hAnsi="Times New Roman" w:cs="Times New Roman"/>
            <w:sz w:val="24"/>
            <w:szCs w:val="24"/>
            <w:lang w:eastAsia="es-CO"/>
          </w:rPr>
          <w:t>artículo 49</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 </w:t>
      </w:r>
      <w:r w:rsidRPr="006F6B75">
        <w:rPr>
          <w:rFonts w:ascii="Times New Roman" w:eastAsia="Times New Roman" w:hAnsi="Times New Roman" w:cs="Times New Roman"/>
          <w:sz w:val="24"/>
          <w:szCs w:val="24"/>
          <w:lang w:eastAsia="es-CO"/>
        </w:rPr>
        <w:t>Los dividendos o participaciones percibidos por sociedades nacionales pertenecientes al régimen de Compañías Holding Colombianas (CHC) tendrán el tratamiento establecido en el Título II del Libro Séptimo del Estatuto Tributario.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76.</w:t>
      </w:r>
      <w:r w:rsidRPr="006F6B75">
        <w:rPr>
          <w:rFonts w:ascii="Times New Roman" w:eastAsia="Times New Roman" w:hAnsi="Times New Roman" w:cs="Times New Roman"/>
          <w:sz w:val="24"/>
          <w:szCs w:val="24"/>
          <w:lang w:eastAsia="es-CO"/>
        </w:rPr>
        <w:t> Modifíquese el </w:t>
      </w:r>
      <w:hyperlink r:id="rId212" w:tooltip="Estatuto Tributario CETA" w:history="1">
        <w:r w:rsidRPr="006F6B75">
          <w:rPr>
            <w:rFonts w:ascii="Times New Roman" w:eastAsia="Times New Roman" w:hAnsi="Times New Roman" w:cs="Times New Roman"/>
            <w:sz w:val="24"/>
            <w:szCs w:val="24"/>
            <w:lang w:eastAsia="es-CO"/>
          </w:rPr>
          <w:t>artículo 115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13" w:tooltip="Estatuto Tributario CETA" w:history="1">
        <w:r w:rsidR="00296598" w:rsidRPr="006F6B75">
          <w:rPr>
            <w:rFonts w:ascii="Times New Roman" w:eastAsia="Times New Roman" w:hAnsi="Times New Roman" w:cs="Times New Roman"/>
            <w:b/>
            <w:bCs/>
            <w:sz w:val="24"/>
            <w:szCs w:val="24"/>
            <w:lang w:eastAsia="es-CO"/>
          </w:rPr>
          <w:t>Artículo 115</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Deducción de impuestos pagados y otros</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deducciones de que trata el presente artículo en ningún caso podrán tratarse simultáneamente como costo y gasto de la respectiva empresa.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contribuyente podrá tomar como descuento tributario del impuesto sobre la renta el cincuenta por ciento (50%) del impuesto de industria y comercio, avisos y tableros.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 </w:t>
      </w:r>
      <w:r w:rsidRPr="006F6B75">
        <w:rPr>
          <w:rFonts w:ascii="Times New Roman" w:eastAsia="Times New Roman" w:hAnsi="Times New Roman" w:cs="Times New Roman"/>
          <w:sz w:val="24"/>
          <w:szCs w:val="24"/>
          <w:lang w:eastAsia="es-CO"/>
        </w:rPr>
        <w:t>El porcentaje del inciso 4 se incrementará al cien por ciento (100%) a partir del año gravable 2022.</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El impuesto al patrimonio y el impuesto de normalización no son deducibles en el impuesto sobre la renta.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 </w:t>
      </w:r>
      <w:r w:rsidRPr="006F6B75">
        <w:rPr>
          <w:rFonts w:ascii="Times New Roman" w:eastAsia="Times New Roman" w:hAnsi="Times New Roman" w:cs="Times New Roman"/>
          <w:sz w:val="24"/>
          <w:szCs w:val="24"/>
          <w:lang w:eastAsia="es-CO"/>
        </w:rPr>
        <w:t>Las cuotas de afiliación pagadas a los gremios serán deducibles del impuesto de renta.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77.</w:t>
      </w:r>
      <w:r w:rsidRPr="006F6B75">
        <w:rPr>
          <w:rFonts w:ascii="Times New Roman" w:eastAsia="Times New Roman" w:hAnsi="Times New Roman" w:cs="Times New Roman"/>
          <w:sz w:val="24"/>
          <w:szCs w:val="24"/>
          <w:lang w:eastAsia="es-CO"/>
        </w:rPr>
        <w:t> Adiciónese el artículo 107-2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107-2. </w:t>
      </w:r>
      <w:r w:rsidRPr="006F6B75">
        <w:rPr>
          <w:rFonts w:ascii="Times New Roman" w:eastAsia="Times New Roman" w:hAnsi="Times New Roman" w:cs="Times New Roman"/>
          <w:b/>
          <w:bCs/>
          <w:i/>
          <w:iCs/>
          <w:sz w:val="24"/>
          <w:szCs w:val="24"/>
          <w:lang w:eastAsia="es-CO"/>
        </w:rPr>
        <w:t>Deducciones por contribuciones a educación de los empleados. </w:t>
      </w:r>
      <w:r w:rsidRPr="006F6B75">
        <w:rPr>
          <w:rFonts w:ascii="Times New Roman" w:eastAsia="Times New Roman" w:hAnsi="Times New Roman" w:cs="Times New Roman"/>
          <w:sz w:val="24"/>
          <w:szCs w:val="24"/>
          <w:lang w:eastAsia="es-CO"/>
        </w:rPr>
        <w:t>Las siguientes deducciones serán aceptadas fiscalmente siempre y cuando se encuentren debidamente soportadas: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a) Los pagos destinados a programas de becas de estudios totales o parciales y de créditos </w:t>
      </w:r>
      <w:proofErr w:type="spellStart"/>
      <w:r w:rsidRPr="006F6B75">
        <w:rPr>
          <w:rFonts w:ascii="Times New Roman" w:eastAsia="Times New Roman" w:hAnsi="Times New Roman" w:cs="Times New Roman"/>
          <w:sz w:val="24"/>
          <w:szCs w:val="24"/>
          <w:lang w:eastAsia="es-CO"/>
        </w:rPr>
        <w:t>condonables</w:t>
      </w:r>
      <w:proofErr w:type="spellEnd"/>
      <w:r w:rsidRPr="006F6B75">
        <w:rPr>
          <w:rFonts w:ascii="Times New Roman" w:eastAsia="Times New Roman" w:hAnsi="Times New Roman" w:cs="Times New Roman"/>
          <w:sz w:val="24"/>
          <w:szCs w:val="24"/>
          <w:lang w:eastAsia="es-CO"/>
        </w:rPr>
        <w:t xml:space="preserve"> para educación, establecidos por las personas jurídicas en beneficio de sus empleados o de los miembros del núcleo familiar del trabajador;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Los pagos a inversiones dirigidos a programas o centros de atención, estimulación y desarrollo integral y/o de educación inicial, para niños y niñas menores de siete años, establecidos por las empresas exclusivamente para los hijos de sus empleados;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Para todos los efectos, los pagos definidos en este artículo no se considerarán pagos indirectos hechos al trabajador.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 anterior será reglamentado por el Gobierno Nacional.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78.</w:t>
      </w:r>
      <w:r w:rsidRPr="006F6B75">
        <w:rPr>
          <w:rFonts w:ascii="Times New Roman" w:eastAsia="Times New Roman" w:hAnsi="Times New Roman" w:cs="Times New Roman"/>
          <w:sz w:val="24"/>
          <w:szCs w:val="24"/>
          <w:lang w:eastAsia="es-CO"/>
        </w:rPr>
        <w:t> Modifíquese el </w:t>
      </w:r>
      <w:hyperlink r:id="rId214" w:tooltip="Estatuto Tributario CETA" w:history="1">
        <w:r w:rsidRPr="006F6B75">
          <w:rPr>
            <w:rFonts w:ascii="Times New Roman" w:eastAsia="Times New Roman" w:hAnsi="Times New Roman" w:cs="Times New Roman"/>
            <w:sz w:val="24"/>
            <w:szCs w:val="24"/>
            <w:lang w:eastAsia="es-CO"/>
          </w:rPr>
          <w:t>artículo 188</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15" w:tooltip="Estatuto Tributario CETA" w:history="1">
        <w:r w:rsidR="00296598" w:rsidRPr="006F6B75">
          <w:rPr>
            <w:rFonts w:ascii="Times New Roman" w:eastAsia="Times New Roman" w:hAnsi="Times New Roman" w:cs="Times New Roman"/>
            <w:b/>
            <w:bCs/>
            <w:sz w:val="24"/>
            <w:szCs w:val="24"/>
            <w:lang w:eastAsia="es-CO"/>
          </w:rPr>
          <w:t>Artículo 188</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Base y porcentaje de la renta presuntiva</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Para efectos del impuesto sobre la renta, se presume que la renta líquida del contribuyente no es inferior al tres y medio por ciento (3.5%) de su patrimonio líquido, en el último día del ejercicio gravable inmediatamente anterior.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porcentaje de renta presuntiva al que se refiere este artículo se reducirá al uno y medio por ciento (1,5%) en los años gravables 2019 y 2020; y al cero por ciento (0%) a partir del año gravable 2021.</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contribuyentes inscritos bajo el impuesto unificado bajo el Régimen Simple de Tributación (Simple) no estarán sujetos a renta presuntiva.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79.</w:t>
      </w:r>
      <w:r w:rsidRPr="006F6B75">
        <w:rPr>
          <w:rFonts w:ascii="Times New Roman" w:eastAsia="Times New Roman" w:hAnsi="Times New Roman" w:cs="Times New Roman"/>
          <w:sz w:val="24"/>
          <w:szCs w:val="24"/>
          <w:lang w:eastAsia="es-CO"/>
        </w:rPr>
        <w:t> Modifíquese el </w:t>
      </w:r>
      <w:hyperlink r:id="rId216" w:tooltip="Estatuto Tributario CETA" w:history="1">
        <w:r w:rsidRPr="006F6B75">
          <w:rPr>
            <w:rFonts w:ascii="Times New Roman" w:eastAsia="Times New Roman" w:hAnsi="Times New Roman" w:cs="Times New Roman"/>
            <w:sz w:val="24"/>
            <w:szCs w:val="24"/>
            <w:lang w:eastAsia="es-CO"/>
          </w:rPr>
          <w:t>artículo 235-2</w:t>
        </w:r>
      </w:hyperlink>
      <w:r w:rsidRPr="006F6B75">
        <w:rPr>
          <w:rFonts w:ascii="Times New Roman" w:eastAsia="Times New Roman" w:hAnsi="Times New Roman" w:cs="Times New Roman"/>
          <w:sz w:val="24"/>
          <w:szCs w:val="24"/>
          <w:lang w:eastAsia="es-CO"/>
        </w:rPr>
        <w:t>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17" w:tooltip="Estatuto Tributario CETA" w:history="1">
        <w:r w:rsidR="00296598" w:rsidRPr="006F6B75">
          <w:rPr>
            <w:rFonts w:ascii="Times New Roman" w:eastAsia="Times New Roman" w:hAnsi="Times New Roman" w:cs="Times New Roman"/>
            <w:b/>
            <w:bCs/>
            <w:sz w:val="24"/>
            <w:szCs w:val="24"/>
            <w:lang w:eastAsia="es-CO"/>
          </w:rPr>
          <w:t>Artículo 235-2</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Rentas exentas a partir del año gravable 2019. </w:t>
      </w:r>
      <w:r w:rsidR="00296598" w:rsidRPr="006F6B75">
        <w:rPr>
          <w:rFonts w:ascii="Times New Roman" w:eastAsia="Times New Roman" w:hAnsi="Times New Roman" w:cs="Times New Roman"/>
          <w:sz w:val="24"/>
          <w:szCs w:val="24"/>
          <w:lang w:eastAsia="es-CO"/>
        </w:rPr>
        <w:t>Sin perjuicio de las rentas exentas de las personas naturales del </w:t>
      </w:r>
      <w:hyperlink r:id="rId218" w:tooltip="Estatuto Tributario CETA" w:history="1">
        <w:r w:rsidR="00296598" w:rsidRPr="006F6B75">
          <w:rPr>
            <w:rFonts w:ascii="Times New Roman" w:eastAsia="Times New Roman" w:hAnsi="Times New Roman" w:cs="Times New Roman"/>
            <w:sz w:val="24"/>
            <w:szCs w:val="24"/>
            <w:lang w:eastAsia="es-CO"/>
          </w:rPr>
          <w:t>artículo 206</w:t>
        </w:r>
      </w:hyperlink>
      <w:r w:rsidR="00296598" w:rsidRPr="006F6B75">
        <w:rPr>
          <w:rFonts w:ascii="Times New Roman" w:eastAsia="Times New Roman" w:hAnsi="Times New Roman" w:cs="Times New Roman"/>
          <w:sz w:val="24"/>
          <w:szCs w:val="24"/>
          <w:lang w:eastAsia="es-CO"/>
        </w:rPr>
        <w:t>del Estatuto Tributario y de las reconocidas en los convenios internacionales ratificados por Colombia, las únicas excepciones legales de que trata el </w:t>
      </w:r>
      <w:hyperlink r:id="rId219" w:tooltip="Estatuto Tributario CETA" w:history="1">
        <w:r w:rsidR="00296598" w:rsidRPr="006F6B75">
          <w:rPr>
            <w:rFonts w:ascii="Times New Roman" w:eastAsia="Times New Roman" w:hAnsi="Times New Roman" w:cs="Times New Roman"/>
            <w:sz w:val="24"/>
            <w:szCs w:val="24"/>
            <w:lang w:eastAsia="es-CO"/>
          </w:rPr>
          <w:t>artículo 26</w:t>
        </w:r>
      </w:hyperlink>
      <w:r w:rsidR="00296598" w:rsidRPr="006F6B75">
        <w:rPr>
          <w:rFonts w:ascii="Times New Roman" w:eastAsia="Times New Roman" w:hAnsi="Times New Roman" w:cs="Times New Roman"/>
          <w:sz w:val="24"/>
          <w:szCs w:val="24"/>
          <w:lang w:eastAsia="es-CO"/>
        </w:rPr>
        <w:t> del Estatuto Tributario son las siguientes: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1. Incentivo tributario para empresas de economía naranja.</w:t>
      </w:r>
      <w:r w:rsidRPr="006F6B75">
        <w:rPr>
          <w:rFonts w:ascii="Times New Roman" w:eastAsia="Times New Roman" w:hAnsi="Times New Roman" w:cs="Times New Roman"/>
          <w:sz w:val="24"/>
          <w:szCs w:val="24"/>
          <w:lang w:eastAsia="es-CO"/>
        </w:rPr>
        <w:t> Las rentas provenientes del desarrollo de industrias de valor agregado tecnológico y actividades creativas, por un término de siete (7) años, siempre que se cumplan los siguientes requisitos: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Las sociedades deben tener su domicilio principal dentro del territorio colombiano, y su objeto social exclusivo debe ser el desarrollo de industrias de valor agregado tecnológico y/o actividades creativas;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Las sociedades deben ser constituidas e iniciar su actividad económica antes del 31 de diciembre de 2021;</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Las actividades que califican para este incentivo son las siguientes:</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563"/>
        <w:gridCol w:w="7538"/>
      </w:tblGrid>
      <w:tr w:rsidR="006F6B75" w:rsidRPr="006F6B75" w:rsidTr="007E57D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CÓDIGO CIIU</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DESCRIPCIÓN DE LA ACTIVIDAD</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3210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Fabricación de joyas, bisutería y artículos conexos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5811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Edición de libros.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5820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Edición de programas de informática (software)</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5911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producción de películas cinematográficas, videos, programas, anuncios y comerciales de televisión</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5912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posproducción de películas cinematográficas, videos, programas, anuncios y comerciales de televisión</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5913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distribución de películas cinematográficas, videos, programas, anuncios v comerciales de televisión</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5914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exhibición de películas cinematográficas y videos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5920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grabación de sonido y edición de música</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programación y transmisión en el servicio de radiodifusión sonora</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programación v transmisión de televisión</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desarrollo de sistemas informáticos (planificación, análisis, diseño, programación, pruebas)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consultoría informática y actividades de administración de instalaciones informáticas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arquitectura e ingeniería y otras actividades conexas de consultoría técnica</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7220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Investigaciones y desarrollo experimental en el campo de las ciencias sociales y las humanidades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7410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especializadas de diseño</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7420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fotografía</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Creación literaria</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Creación musical</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Creación teatral</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Creación audiovisual</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Artes plásticas y visuales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teatrales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espectáculos musicales en vivo</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9008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Otras actividades de espectáculos en vivo</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9101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de bibliotecas y archivos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9102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y funcionamiento de museos, conservación de edificios y sitios históricos</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Actividades referentes al turismo cultural.</w:t>
            </w:r>
          </w:p>
        </w:tc>
      </w:tr>
    </w:tbl>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g) Los usuarios de zona franca podrán aplicar a los beneficios establecidos en este numeral, siempre y cuando cumplan con todos los requisitos señalados en este artículo para efectos de acceder a esta exención.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2. Incentivo tributario para el desarrollo del campo colombiano.</w:t>
      </w:r>
      <w:r w:rsidRPr="006F6B75">
        <w:rPr>
          <w:rFonts w:ascii="Times New Roman" w:eastAsia="Times New Roman" w:hAnsi="Times New Roman" w:cs="Times New Roman"/>
          <w:sz w:val="24"/>
          <w:szCs w:val="24"/>
          <w:lang w:eastAsia="es-CO"/>
        </w:rPr>
        <w:t> Las rentas provenientes de inversiones que incrementen la productividad en el sector agropecuario, por un término de diez (10) años, siempre que cumplan los siguientes requisitos: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Las sociedades deben tener su domicilio principal y sede de administración y operación en el municipio o municipios en los que realicen las inversiones que incrementen la productividad del sector agropecuario;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Las sociedades deben tener por objeto social exclusivo alguna de las actividades que incrementan la productividad del sector agropecuario. Las actividades comprendidas son aquellas señaladas en la Clasificación Industrial Internacional Uniforme (CIIU), Sección A, División 01, adoptada en Colombia mediante Resolución de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Las sociedades deben ser constituidas e iniciar su actividad económica antes del 31 de diciembre de 2021;</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Las sociedades deben cumplir con los montos mínimos de empleo que defina el Gobierno Nacional, que en ningún caso puede ser inferior a diez (10) empleados. Los empleos que se tienen en cuenta para la exención en renta son aquellos que tienen una relación directa con los proyectos agropecuarios, según la reglamentación que profiera el Gobierno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administradores de la sociedad no califican como empleados para efectos de la presente exención en renta;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Las sociedades deben cumplir con los montos mínimos de inversión en los términos que defina el Gobierno Nacional, que en ningún caso puede ser inferior a veinticinco mil (25.000) UVT y en un plazo máximo de seis (6) años gravables. En caso de que no se logre el monto de inversión se pierde el beneficio a partir del sexto año, inclusive;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g)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Tramitar, obtener y vender certificados de emisión de bióxido de carbono de acuerdo con la reglamentación del Gobierno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Las siguientes rentas asociadas a la vivienda de interés social y la vivienda de interés prioritario: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La utilidad en la enajenación de predios destinados al desarrollo de proyectos de vivienda de interés social y/o de vivienda de interés prioritario;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La utilidad en la primera enajenación de viviendas de interés social y/o de interés prioritario;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La utilidad en la enajenación de predios para el desarrollo de proyectos de renovación urbana;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Las rentas de que trata el artículo 16 de la Ley 546 de 1999, en los términos allí previstos;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gozar de las exenciones de que tratan los literales a) y b) de este numeral 6, se requiere que: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i) La licencia de construcción establezca que el proyecto a ser desarrollado sea de vivienda de interés social y/o de interés prioritario.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ii) Los predios sean aportados a un patrimonio autónomo con objeto exclusivo de desarrollo del proyecto de vivienda de interés social y/o de interés prioritario.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iii) La totalidad del desarrollo del proyecto de vivienda de interés social y/o de interés prioritario se efectúe a través del patrimonio autónomo, y</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iv) El plazo de la fiducia mercantil a través del cual se desarrolla el proyecto, no exceda de diez (10) años. El Gobierno Nacional reglamentará la materia.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mismos requisitos establecidos en este literal serán aplicables cuando se pretenda acceder a la exención prevista por la enajenación de predios para proyectos de renovación urbana.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 Aprovechamiento de nuevas plantaciones forestales, incluida la guadua, el caucho y el marañón según la calificación que para el efecto expida la corporación autónoma regional o la entidad competente.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las mismas condiciones, gozarán de la exención los contribuyentes que a partir de la fecha de entrada en vigencia de la presente ley realicen inversiones en nuevos aserríos y plantas de procesamiento vinculados directamente al aprovechamiento a que se refiere este numeral.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También gozarán de la exención de que trata este numeral, los contribuyentes que, a la fecha de entrada en vigencia de la presente ley, posean plantaciones de árboles maderables y árboles en producción de frutos, debidamente registrados ante la autoridad competente. La exención queda sujeta a la renovación técnica de los cultivos.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exención de que trata el presente numeral estará vigente hasta el año gravable 2036, incluido.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 La prestación del servicio de transporte fluvial con embarcaciones y planchones de bajo calado, por un término de quince (15) años a partir de la vigencia de la presente ley.</w:t>
      </w:r>
    </w:p>
    <w:p w:rsidR="00A819BF" w:rsidRPr="006F6B75" w:rsidRDefault="00A819BF"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 Las rentas de que tratan los artículos 4° del Decreto 841 de 1998 y 135 de la Ley 100 de 1993.</w:t>
      </w:r>
    </w:p>
    <w:p w:rsidR="00A819BF" w:rsidRPr="006F6B75" w:rsidRDefault="00A819BF"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8. El incentivo tributario a las creaciones literarias de la economía naranja, contenidas en el artículo 28 de la Ley 98 de 1993.</w:t>
      </w:r>
    </w:p>
    <w:p w:rsidR="00A819BF" w:rsidRPr="006F6B75" w:rsidRDefault="00A819BF"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 Los rendimientos generados por la reserva de estabilización que constituyen las entidades administradoras de fondos de pensiones y cesantías de acuerdo con el artículo 101 de la Ley 100 de 1993.</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 </w:t>
      </w:r>
      <w:r w:rsidRPr="006F6B75">
        <w:rPr>
          <w:rFonts w:ascii="Times New Roman" w:eastAsia="Times New Roman" w:hAnsi="Times New Roman" w:cs="Times New Roman"/>
          <w:sz w:val="24"/>
          <w:szCs w:val="24"/>
          <w:lang w:eastAsia="es-CO"/>
        </w:rPr>
        <w:t>Las exenciones consagradas en los numerales 1 y 2 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períodos gravables en los cuales se aplique el beneficio de renta exenta.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El presente parágrafo no aplica para aquéllas sociedades cuyo objeto social principal sean actividades enmarcadas dentro de la Clasificación de Actividades Económicas CIIU 5911.</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º de la Ley 89 de 1988, y de acuerdo con los requisitos y condiciones establecidos en las normas aplicables.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 </w:t>
      </w:r>
      <w:r w:rsidRPr="006F6B75">
        <w:rPr>
          <w:rFonts w:ascii="Times New Roman" w:eastAsia="Times New Roman" w:hAnsi="Times New Roman" w:cs="Times New Roman"/>
          <w:sz w:val="24"/>
          <w:szCs w:val="24"/>
          <w:lang w:eastAsia="es-CO"/>
        </w:rPr>
        <w:t>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80.</w:t>
      </w:r>
      <w:r w:rsidRPr="006F6B75">
        <w:rPr>
          <w:rFonts w:ascii="Times New Roman" w:eastAsia="Times New Roman" w:hAnsi="Times New Roman" w:cs="Times New Roman"/>
          <w:sz w:val="24"/>
          <w:szCs w:val="24"/>
          <w:lang w:eastAsia="es-CO"/>
        </w:rPr>
        <w:t> Modifíquense el inciso primero y el parágrafo 5°, del </w:t>
      </w:r>
      <w:hyperlink r:id="rId220" w:tooltip="Estatuto Tributario CETA" w:history="1">
        <w:r w:rsidRPr="006F6B75">
          <w:rPr>
            <w:rFonts w:ascii="Times New Roman" w:eastAsia="Times New Roman" w:hAnsi="Times New Roman" w:cs="Times New Roman"/>
            <w:sz w:val="24"/>
            <w:szCs w:val="24"/>
            <w:lang w:eastAsia="es-CO"/>
          </w:rPr>
          <w:t>artículo 240</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21" w:tooltip="Estatuto Tributario CETA" w:history="1">
        <w:r w:rsidR="00296598" w:rsidRPr="006F6B75">
          <w:rPr>
            <w:rFonts w:ascii="Times New Roman" w:eastAsia="Times New Roman" w:hAnsi="Times New Roman" w:cs="Times New Roman"/>
            <w:b/>
            <w:bCs/>
            <w:sz w:val="24"/>
            <w:szCs w:val="24"/>
            <w:lang w:eastAsia="es-CO"/>
          </w:rPr>
          <w:t>Artículo 240</w:t>
        </w:r>
      </w:hyperlink>
      <w:r w:rsidR="00296598" w:rsidRPr="006F6B75">
        <w:rPr>
          <w:rFonts w:ascii="Times New Roman" w:eastAsia="Times New Roman" w:hAnsi="Times New Roman" w:cs="Times New Roman"/>
          <w:b/>
          <w:bCs/>
          <w:sz w:val="24"/>
          <w:szCs w:val="24"/>
          <w:lang w:eastAsia="es-CO"/>
        </w:rPr>
        <w:t>. </w:t>
      </w:r>
      <w:r w:rsidR="00170994" w:rsidRPr="006F6B75">
        <w:rPr>
          <w:rFonts w:ascii="Times New Roman" w:eastAsia="Times New Roman" w:hAnsi="Times New Roman" w:cs="Times New Roman"/>
          <w:b/>
          <w:bCs/>
          <w:i/>
          <w:iCs/>
          <w:sz w:val="24"/>
          <w:szCs w:val="24"/>
          <w:lang w:eastAsia="es-CO"/>
        </w:rPr>
        <w:t xml:space="preserve">Tarifa </w:t>
      </w:r>
      <w:bookmarkStart w:id="0" w:name="_GoBack"/>
      <w:bookmarkEnd w:id="0"/>
      <w:r w:rsidR="0064036F" w:rsidRPr="006F6B75">
        <w:rPr>
          <w:rFonts w:ascii="Times New Roman" w:eastAsia="Times New Roman" w:hAnsi="Times New Roman" w:cs="Times New Roman"/>
          <w:b/>
          <w:bCs/>
          <w:i/>
          <w:iCs/>
          <w:sz w:val="24"/>
          <w:szCs w:val="24"/>
          <w:lang w:eastAsia="es-CO"/>
        </w:rPr>
        <w:t>general para</w:t>
      </w:r>
      <w:r w:rsidR="00296598" w:rsidRPr="006F6B75">
        <w:rPr>
          <w:rFonts w:ascii="Times New Roman" w:eastAsia="Times New Roman" w:hAnsi="Times New Roman" w:cs="Times New Roman"/>
          <w:b/>
          <w:bCs/>
          <w:i/>
          <w:iCs/>
          <w:sz w:val="24"/>
          <w:szCs w:val="24"/>
          <w:lang w:eastAsia="es-CO"/>
        </w:rPr>
        <w:t xml:space="preserve"> personas jurídicas</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tres por ciento (33%) para el año gravable 2019, treinta y dos por ciento (32%) para el año gravable 2020, treinta y uno por ciento (31%) para el año gravable 2021 y del treinta por ciento (30%) a partir del año gravable 2022.</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Las siguientes rentas están gravadas a la tarifa del 9%:</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Servicios prestados en nuevos hoteles que se construyan en municipios de hasta doscientos mil habitantes, tal y como lo certifique la autoridad competente a 31 de diciembre de 2016, dentro de los diez (10) años siguientes a partir de la entrada en vigencia de esta ley, por un término de 20 años;</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Servicios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El tratamiento previsto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de esta ley, por un término de diez (10) años;</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de la presente ley, por un término de diez (10) años, siempre y cuando el valor de la remodelación y/o ampliación no sea inferior al cincuenta por ciento (50%) del valor de adquisición del inmueble remodelado y/o ampliado, conforme a las reglas del </w:t>
      </w:r>
      <w:hyperlink r:id="rId222" w:tooltip="Estatuto Tributario CETA" w:history="1">
        <w:r w:rsidRPr="006F6B75">
          <w:rPr>
            <w:rFonts w:ascii="Times New Roman" w:eastAsia="Times New Roman" w:hAnsi="Times New Roman" w:cs="Times New Roman"/>
            <w:sz w:val="24"/>
            <w:szCs w:val="24"/>
            <w:lang w:eastAsia="es-CO"/>
          </w:rPr>
          <w:t>artículo 90</w:t>
        </w:r>
      </w:hyperlink>
      <w:r w:rsidRPr="006F6B75">
        <w:rPr>
          <w:rFonts w:ascii="Times New Roman" w:eastAsia="Times New Roman" w:hAnsi="Times New Roman" w:cs="Times New Roman"/>
          <w:sz w:val="24"/>
          <w:szCs w:val="24"/>
          <w:lang w:eastAsia="es-CO"/>
        </w:rPr>
        <w:t> de este Estatuto. Para efectos de la remodelación y/o ampliación, se requiere aprobación previa del proyecto por parte de la Curaduría Urbana o en su defecto de la Alcaldía Municipal del domicilio del inmueble remodelado y/o ampliado;</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w:t>
      </w:r>
      <w:hyperlink r:id="rId223" w:tooltip="Estatuto Tributario CETA" w:history="1">
        <w:r w:rsidRPr="006F6B75">
          <w:rPr>
            <w:rFonts w:ascii="Times New Roman" w:eastAsia="Times New Roman" w:hAnsi="Times New Roman" w:cs="Times New Roman"/>
            <w:sz w:val="24"/>
            <w:szCs w:val="24"/>
            <w:lang w:eastAsia="es-CO"/>
          </w:rPr>
          <w:t>artículo 336</w:t>
        </w:r>
      </w:hyperlink>
      <w:r w:rsidRPr="006F6B75">
        <w:rPr>
          <w:rFonts w:ascii="Times New Roman" w:eastAsia="Times New Roman" w:hAnsi="Times New Roman" w:cs="Times New Roman"/>
          <w:sz w:val="24"/>
          <w:szCs w:val="24"/>
          <w:lang w:eastAsia="es-CO"/>
        </w:rPr>
        <w:t> de este Estatuto;</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esta ley por un término de veinte (20) años;</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esta ley, por un término de diez (10) años;</w:t>
      </w:r>
    </w:p>
    <w:p w:rsidR="00170994" w:rsidRPr="006F6B75" w:rsidRDefault="00170994"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 Lo previsto en este parágrafo no será aplicable a moteles y residencias.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7°. </w:t>
      </w:r>
      <w:r w:rsidRPr="006F6B75">
        <w:rPr>
          <w:rFonts w:ascii="Times New Roman" w:eastAsia="Times New Roman" w:hAnsi="Times New Roman" w:cs="Times New Roman"/>
          <w:sz w:val="24"/>
          <w:szCs w:val="24"/>
          <w:lang w:eastAsia="es-CO"/>
        </w:rPr>
        <w:t>Las entidades financieras deberán liquidar unos puntos adicionales al impuesto de renta y complementarios durante los siguientes períodos gravables: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Para el año gravable 2019, adicionales, de cuatro (4) puntos porcentuales sobre la tarifa general del impuesto, siendo en total del treinta y siete por ciento (37%).</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Para el año gravable 2020, adicionales, de tres (3) puntos porcentuales sobre la tarifa general del impuesto, siendo en total del treinta y cinco por ciento (35%).</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Para el año gravable 2021, adicionales, de tres (3) puntos porcentuales sobre la tarifa general del impuesto, siendo en total del treinta y cuatro por ciento (34%).</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puntos adicionales de la que trata el presente parágrafo solo es aplicable a las personas jurídicas que, en el año gravable correspondiente, tengan una renta gravable igual o superior a 120.000 UVT.</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81.</w:t>
      </w:r>
      <w:r w:rsidRPr="006F6B75">
        <w:rPr>
          <w:rFonts w:ascii="Times New Roman" w:eastAsia="Times New Roman" w:hAnsi="Times New Roman" w:cs="Times New Roman"/>
          <w:sz w:val="24"/>
          <w:szCs w:val="24"/>
          <w:lang w:eastAsia="es-CO"/>
        </w:rPr>
        <w:t> Modifíquese el </w:t>
      </w:r>
      <w:hyperlink r:id="rId224" w:tooltip="Estatuto Tributario CETA" w:history="1">
        <w:r w:rsidRPr="006F6B75">
          <w:rPr>
            <w:rFonts w:ascii="Times New Roman" w:eastAsia="Times New Roman" w:hAnsi="Times New Roman" w:cs="Times New Roman"/>
            <w:sz w:val="24"/>
            <w:szCs w:val="24"/>
            <w:lang w:eastAsia="es-CO"/>
          </w:rPr>
          <w:t>artículo 254</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25" w:tooltip="Estatuto Tributario CETA" w:history="1">
        <w:r w:rsidR="00296598" w:rsidRPr="006F6B75">
          <w:rPr>
            <w:rFonts w:ascii="Times New Roman" w:eastAsia="Times New Roman" w:hAnsi="Times New Roman" w:cs="Times New Roman"/>
            <w:b/>
            <w:bCs/>
            <w:sz w:val="24"/>
            <w:szCs w:val="24"/>
            <w:lang w:eastAsia="es-CO"/>
          </w:rPr>
          <w:t>Artículo 254</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Descuento por impuestos pagados en el exterior</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 xml:space="preserve">Las personas naturales residentes en el país y las sociedades y entidades nacionales, que sean contribuyentes del </w:t>
      </w:r>
      <w:r w:rsidR="00296598" w:rsidRPr="006F6B75">
        <w:rPr>
          <w:rFonts w:ascii="Times New Roman" w:eastAsia="Times New Roman" w:hAnsi="Times New Roman" w:cs="Times New Roman"/>
          <w:sz w:val="24"/>
          <w:szCs w:val="24"/>
          <w:lang w:eastAsia="es-CO"/>
        </w:rPr>
        <w:lastRenderedPageBreak/>
        <w:t>impuesto sobre la renta y complementarios y que perciban rentas de fuente extranjera sujetas al impuesto sobre la renta en el país de origen, tienen derecho a descontar del monto del impuesto colombiano de renta y complementarios, el impuesto pagado en el extranjero, cualquiera sea su denominación, liquidado sobre esas mismas rentas, siempre que el descuento no exceda del monto del impuesto que deba pagar el contribuyente en Colombia por esas mismas rentas. Para efectos de esta limitación general, las rentas del exterior deben depurarse imputando ingresos, costos y gastos.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se trate de dividendos o participaciones provenientes de sociedades domiciliadas en el exterior, habrá lugar a un descuento tributario en el impuesto sobre la renta y complementarios por los impuestos sobre la renta pagados en el exterior, de la siguiente forma: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El valor del descuento equivale al resultado de multiplicar el monto de los dividendos o participaciones por la tarifa efectiva del impuesto sobre la renta a la que hayan estado sometidas las utilidades comerciales que los generaron;</w:t>
      </w:r>
    </w:p>
    <w:p w:rsidR="003F79AB" w:rsidRPr="006F6B75" w:rsidRDefault="003F79AB"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comerciales que los generaron;</w:t>
      </w:r>
    </w:p>
    <w:p w:rsidR="003F79AB" w:rsidRPr="006F6B75" w:rsidRDefault="003F79AB"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con lo que el descuento tributario indirecto no sería aplicable a las inversiones de portafolio o destinadas a especular en mercados de valores;</w:t>
      </w:r>
    </w:p>
    <w:p w:rsidR="003F79AB" w:rsidRPr="006F6B75" w:rsidRDefault="003F79AB"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Cuando los dividendos o participaciones percibidas por el contribuyente nacional hayan estado gravados en el país de origen el descuento se incrementará en el monto de tal gravamen;</w:t>
      </w:r>
    </w:p>
    <w:p w:rsidR="003F79AB" w:rsidRPr="006F6B75" w:rsidRDefault="003F79AB"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 En ningún caso el descuento a que se refieren los literales anteriores, podrá exceder el monto del impuesto de renta y complementarios, generado en Colombia por tales dividendos, menos los costos y gastos imputables;</w:t>
      </w:r>
    </w:p>
    <w:p w:rsidR="003F79AB" w:rsidRPr="006F6B75" w:rsidRDefault="003F79AB"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f) Para tener derecho al descuento a que se refieren los literales a), b) y d), el contribuyente deberá probar el pago en cada jurisdicción aportando certificado fiscal del pago del impuesto expedido por la autoridad tributaria respectiva o en su defecto con una prueba idónea. Adicionalmente, se deberá contar con un certificado del revisor fiscal de la sociedad que distribuye los dividendos, en que se pueda constatar el valor de la utilidad comercial, el valor de la utilidad fiscal, la tarifa de impuesto y el impuesto efectivamente pagado por dicha sociedad. La tarifa efectiva será el porcentaje que resulte de dividir el valor del impuesto </w:t>
      </w:r>
      <w:r w:rsidRPr="006F6B75">
        <w:rPr>
          <w:rFonts w:ascii="Times New Roman" w:eastAsia="Times New Roman" w:hAnsi="Times New Roman" w:cs="Times New Roman"/>
          <w:sz w:val="24"/>
          <w:szCs w:val="24"/>
          <w:lang w:eastAsia="es-CO"/>
        </w:rPr>
        <w:lastRenderedPageBreak/>
        <w:t>efectivamente pagado en las utilidades comerciales de la sociedad extranjera operativa antes de impuestos.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 </w:t>
      </w:r>
      <w:r w:rsidRPr="006F6B75">
        <w:rPr>
          <w:rFonts w:ascii="Times New Roman" w:eastAsia="Times New Roman" w:hAnsi="Times New Roman" w:cs="Times New Roman"/>
          <w:sz w:val="24"/>
          <w:szCs w:val="24"/>
          <w:lang w:eastAsia="es-CO"/>
        </w:rPr>
        <w:t>El impuesto sobre la renta pagado en el exterior podrá ser tratado como descuento en el año gravable en el cual se haya realizado el pago, o en cualquiera de los períodos gravables siguientes sin perjuicio de lo previsto en el </w:t>
      </w:r>
      <w:hyperlink r:id="rId226" w:tooltip="Estatuto Tributario CETA" w:history="1">
        <w:r w:rsidRPr="006F6B75">
          <w:rPr>
            <w:rFonts w:ascii="Times New Roman" w:eastAsia="Times New Roman" w:hAnsi="Times New Roman" w:cs="Times New Roman"/>
            <w:sz w:val="24"/>
            <w:szCs w:val="24"/>
            <w:lang w:eastAsia="es-CO"/>
          </w:rPr>
          <w:t>artículo 259</w:t>
        </w:r>
      </w:hyperlink>
      <w:r w:rsidRPr="006F6B75">
        <w:rPr>
          <w:rFonts w:ascii="Times New Roman" w:eastAsia="Times New Roman" w:hAnsi="Times New Roman" w:cs="Times New Roman"/>
          <w:sz w:val="24"/>
          <w:szCs w:val="24"/>
          <w:lang w:eastAsia="es-CO"/>
        </w:rPr>
        <w:t> de este Estatuto. En todo caso, el exceso de impuesto descontable que se trate como descuento en otros períodos gravables, tiene como límite el impuesto sobre la renta y complementarios generado en Colombia sobre las rentas de fuente extranjera de igual naturaleza a las que dieron origen a dicho descuento.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82.</w:t>
      </w:r>
      <w:r w:rsidRPr="006F6B75">
        <w:rPr>
          <w:rFonts w:ascii="Times New Roman" w:eastAsia="Times New Roman" w:hAnsi="Times New Roman" w:cs="Times New Roman"/>
          <w:sz w:val="24"/>
          <w:szCs w:val="24"/>
          <w:lang w:eastAsia="es-CO"/>
        </w:rPr>
        <w:t> Adiciónese el parágrafo 2° al </w:t>
      </w:r>
      <w:hyperlink r:id="rId227" w:tooltip="Estatuto Tributario CETA" w:history="1">
        <w:r w:rsidRPr="006F6B75">
          <w:rPr>
            <w:rFonts w:ascii="Times New Roman" w:eastAsia="Times New Roman" w:hAnsi="Times New Roman" w:cs="Times New Roman"/>
            <w:sz w:val="24"/>
            <w:szCs w:val="24"/>
            <w:lang w:eastAsia="es-CO"/>
          </w:rPr>
          <w:t>artículo 257</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w:t>
      </w:r>
      <w:hyperlink r:id="rId228" w:tooltip="Estatuto Tributario CETA" w:history="1">
        <w:r w:rsidRPr="006F6B75">
          <w:rPr>
            <w:rFonts w:ascii="Times New Roman" w:eastAsia="Times New Roman" w:hAnsi="Times New Roman" w:cs="Times New Roman"/>
            <w:sz w:val="24"/>
            <w:szCs w:val="24"/>
            <w:lang w:eastAsia="es-CO"/>
          </w:rPr>
          <w:t>257</w:t>
        </w:r>
      </w:hyperlink>
      <w:r w:rsidRPr="006F6B75">
        <w:rPr>
          <w:rFonts w:ascii="Times New Roman" w:eastAsia="Times New Roman" w:hAnsi="Times New Roman" w:cs="Times New Roman"/>
          <w:sz w:val="24"/>
          <w:szCs w:val="24"/>
          <w:lang w:eastAsia="es-CO"/>
        </w:rPr>
        <w:t> y </w:t>
      </w:r>
      <w:hyperlink r:id="rId229" w:tooltip="Estatuto Tributario CETA" w:history="1">
        <w:r w:rsidRPr="006F6B75">
          <w:rPr>
            <w:rFonts w:ascii="Times New Roman" w:eastAsia="Times New Roman" w:hAnsi="Times New Roman" w:cs="Times New Roman"/>
            <w:sz w:val="24"/>
            <w:szCs w:val="24"/>
            <w:lang w:eastAsia="es-CO"/>
          </w:rPr>
          <w:t>258</w:t>
        </w:r>
      </w:hyperlink>
      <w:r w:rsidRPr="006F6B75">
        <w:rPr>
          <w:rFonts w:ascii="Times New Roman" w:eastAsia="Times New Roman" w:hAnsi="Times New Roman" w:cs="Times New Roman"/>
          <w:sz w:val="24"/>
          <w:szCs w:val="24"/>
          <w:lang w:eastAsia="es-CO"/>
        </w:rPr>
        <w:t> del Estatuto Tributario. La Dirección de Impuestos y Aduanas Nacionales (DIAN) mediante resolución reglamentará lo dispuesto en este artículo.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83.</w:t>
      </w:r>
      <w:r w:rsidRPr="006F6B75">
        <w:rPr>
          <w:rFonts w:ascii="Times New Roman" w:eastAsia="Times New Roman" w:hAnsi="Times New Roman" w:cs="Times New Roman"/>
          <w:sz w:val="24"/>
          <w:szCs w:val="24"/>
          <w:lang w:eastAsia="es-CO"/>
        </w:rPr>
        <w:t> Adiciónese el </w:t>
      </w:r>
      <w:hyperlink r:id="rId230" w:tooltip="Estatuto Tributario CETA" w:history="1">
        <w:r w:rsidRPr="006F6B75">
          <w:rPr>
            <w:rFonts w:ascii="Times New Roman" w:eastAsia="Times New Roman" w:hAnsi="Times New Roman" w:cs="Times New Roman"/>
            <w:sz w:val="24"/>
            <w:szCs w:val="24"/>
            <w:lang w:eastAsia="es-CO"/>
          </w:rPr>
          <w:t>artículo 258-1</w:t>
        </w:r>
      </w:hyperlink>
      <w:r w:rsidRPr="006F6B75">
        <w:rPr>
          <w:rFonts w:ascii="Times New Roman" w:eastAsia="Times New Roman" w:hAnsi="Times New Roman" w:cs="Times New Roman"/>
          <w:sz w:val="24"/>
          <w:szCs w:val="24"/>
          <w:lang w:eastAsia="es-CO"/>
        </w:rPr>
        <w:t>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31" w:tooltip="Estatuto Tributario CETA" w:history="1">
        <w:r w:rsidR="00296598" w:rsidRPr="006F6B75">
          <w:rPr>
            <w:rFonts w:ascii="Times New Roman" w:eastAsia="Times New Roman" w:hAnsi="Times New Roman" w:cs="Times New Roman"/>
            <w:b/>
            <w:bCs/>
            <w:sz w:val="24"/>
            <w:szCs w:val="24"/>
            <w:lang w:eastAsia="es-CO"/>
          </w:rPr>
          <w:t>Artículo 258-1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Impuesto sobre las ventas en la importación, formación, construcción o adquisición de activos fijos reales productivos</w:t>
      </w:r>
      <w:r w:rsidR="00296598" w:rsidRPr="006F6B75">
        <w:rPr>
          <w:rFonts w:ascii="Times New Roman" w:eastAsia="Times New Roman" w:hAnsi="Times New Roman" w:cs="Times New Roman"/>
          <w:i/>
          <w:iCs/>
          <w:sz w:val="24"/>
          <w:szCs w:val="24"/>
          <w:lang w:eastAsia="es-CO"/>
        </w:rPr>
        <w:t>. </w:t>
      </w:r>
      <w:r w:rsidR="00296598" w:rsidRPr="006F6B75">
        <w:rPr>
          <w:rFonts w:ascii="Times New Roman" w:eastAsia="Times New Roman" w:hAnsi="Times New Roman" w:cs="Times New Roman"/>
          <w:sz w:val="24"/>
          <w:szCs w:val="24"/>
          <w:lang w:eastAsia="es-CO"/>
        </w:rPr>
        <w:t>Los responsables del Impuesto sobre las Ventas (IVA) podrán descontar del impuesto sobre la renta a cargo, correspondiente al año en el que se efectúe su pago, o en cualquiera de los períodos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que dicho activo se active y comience a depreciarse o amortizarse, o en cualquiera de los períodos gravables siguientes.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El IVA de que trata esta disposición no podrá tomarse simultáneamente como costo o gasto en el impuesto sobre la renta ni será descontable del Impuesto sobre las Ventas (IVA).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84.</w:t>
      </w:r>
      <w:r w:rsidRPr="006F6B75">
        <w:rPr>
          <w:rFonts w:ascii="Times New Roman" w:eastAsia="Times New Roman" w:hAnsi="Times New Roman" w:cs="Times New Roman"/>
          <w:sz w:val="24"/>
          <w:szCs w:val="24"/>
          <w:lang w:eastAsia="es-CO"/>
        </w:rPr>
        <w:t> Modifíquese (Sic) el artículo 259-2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259-2. </w:t>
      </w:r>
      <w:r w:rsidRPr="006F6B75">
        <w:rPr>
          <w:rFonts w:ascii="Times New Roman" w:eastAsia="Times New Roman" w:hAnsi="Times New Roman" w:cs="Times New Roman"/>
          <w:b/>
          <w:bCs/>
          <w:i/>
          <w:iCs/>
          <w:sz w:val="24"/>
          <w:szCs w:val="24"/>
          <w:lang w:eastAsia="es-CO"/>
        </w:rPr>
        <w:t>Eliminación de descuentos tributarios en el impuesto sobre la renta. </w:t>
      </w:r>
      <w:r w:rsidRPr="006F6B75">
        <w:rPr>
          <w:rFonts w:ascii="Times New Roman" w:eastAsia="Times New Roman" w:hAnsi="Times New Roman" w:cs="Times New Roman"/>
          <w:sz w:val="24"/>
          <w:szCs w:val="24"/>
          <w:lang w:eastAsia="es-CO"/>
        </w:rPr>
        <w:t>Elimínense a partir del año gravable 2019 todos los descuentos tributarios aplicables al impuesto sobre la renta, que sean distintos de los contenidos en los artículos </w:t>
      </w:r>
      <w:hyperlink r:id="rId232" w:tooltip="Estatuto Tributario CETA" w:history="1">
        <w:r w:rsidRPr="006F6B75">
          <w:rPr>
            <w:rFonts w:ascii="Times New Roman" w:eastAsia="Times New Roman" w:hAnsi="Times New Roman" w:cs="Times New Roman"/>
            <w:sz w:val="24"/>
            <w:szCs w:val="24"/>
            <w:lang w:eastAsia="es-CO"/>
          </w:rPr>
          <w:t>115</w:t>
        </w:r>
      </w:hyperlink>
      <w:r w:rsidRPr="006F6B75">
        <w:rPr>
          <w:rFonts w:ascii="Times New Roman" w:eastAsia="Times New Roman" w:hAnsi="Times New Roman" w:cs="Times New Roman"/>
          <w:sz w:val="24"/>
          <w:szCs w:val="24"/>
          <w:lang w:eastAsia="es-CO"/>
        </w:rPr>
        <w:t>, </w:t>
      </w:r>
      <w:hyperlink r:id="rId233" w:tooltip="Estatuto Tributario CETA" w:history="1">
        <w:r w:rsidRPr="006F6B75">
          <w:rPr>
            <w:rFonts w:ascii="Times New Roman" w:eastAsia="Times New Roman" w:hAnsi="Times New Roman" w:cs="Times New Roman"/>
            <w:sz w:val="24"/>
            <w:szCs w:val="24"/>
            <w:lang w:eastAsia="es-CO"/>
          </w:rPr>
          <w:t>254</w:t>
        </w:r>
      </w:hyperlink>
      <w:r w:rsidRPr="006F6B75">
        <w:rPr>
          <w:rFonts w:ascii="Times New Roman" w:eastAsia="Times New Roman" w:hAnsi="Times New Roman" w:cs="Times New Roman"/>
          <w:sz w:val="24"/>
          <w:szCs w:val="24"/>
          <w:lang w:eastAsia="es-CO"/>
        </w:rPr>
        <w:t>, </w:t>
      </w:r>
      <w:hyperlink r:id="rId234" w:tooltip="Estatuto Tributario CETA" w:history="1">
        <w:r w:rsidRPr="006F6B75">
          <w:rPr>
            <w:rFonts w:ascii="Times New Roman" w:eastAsia="Times New Roman" w:hAnsi="Times New Roman" w:cs="Times New Roman"/>
            <w:sz w:val="24"/>
            <w:szCs w:val="24"/>
            <w:lang w:eastAsia="es-CO"/>
          </w:rPr>
          <w:t>255</w:t>
        </w:r>
      </w:hyperlink>
      <w:r w:rsidRPr="006F6B75">
        <w:rPr>
          <w:rFonts w:ascii="Times New Roman" w:eastAsia="Times New Roman" w:hAnsi="Times New Roman" w:cs="Times New Roman"/>
          <w:sz w:val="24"/>
          <w:szCs w:val="24"/>
          <w:lang w:eastAsia="es-CO"/>
        </w:rPr>
        <w:t>, </w:t>
      </w:r>
      <w:hyperlink r:id="rId235" w:tooltip="Estatuto Tributario CETA" w:history="1">
        <w:r w:rsidRPr="006F6B75">
          <w:rPr>
            <w:rFonts w:ascii="Times New Roman" w:eastAsia="Times New Roman" w:hAnsi="Times New Roman" w:cs="Times New Roman"/>
            <w:sz w:val="24"/>
            <w:szCs w:val="24"/>
            <w:lang w:eastAsia="es-CO"/>
          </w:rPr>
          <w:t>256</w:t>
        </w:r>
      </w:hyperlink>
      <w:r w:rsidRPr="006F6B75">
        <w:rPr>
          <w:rFonts w:ascii="Times New Roman" w:eastAsia="Times New Roman" w:hAnsi="Times New Roman" w:cs="Times New Roman"/>
          <w:sz w:val="24"/>
          <w:szCs w:val="24"/>
          <w:lang w:eastAsia="es-CO"/>
        </w:rPr>
        <w:t>, </w:t>
      </w:r>
      <w:hyperlink r:id="rId236" w:tooltip="Estatuto Tributario CETA" w:history="1">
        <w:r w:rsidRPr="006F6B75">
          <w:rPr>
            <w:rFonts w:ascii="Times New Roman" w:eastAsia="Times New Roman" w:hAnsi="Times New Roman" w:cs="Times New Roman"/>
            <w:sz w:val="24"/>
            <w:szCs w:val="24"/>
            <w:lang w:eastAsia="es-CO"/>
          </w:rPr>
          <w:t>257</w:t>
        </w:r>
      </w:hyperlink>
      <w:r w:rsidRPr="006F6B75">
        <w:rPr>
          <w:rFonts w:ascii="Times New Roman" w:eastAsia="Times New Roman" w:hAnsi="Times New Roman" w:cs="Times New Roman"/>
          <w:sz w:val="24"/>
          <w:szCs w:val="24"/>
          <w:lang w:eastAsia="es-CO"/>
        </w:rPr>
        <w:t> y </w:t>
      </w:r>
      <w:hyperlink r:id="rId237" w:tooltip="Estatuto Tributario CETA" w:history="1">
        <w:r w:rsidRPr="006F6B75">
          <w:rPr>
            <w:rFonts w:ascii="Times New Roman" w:eastAsia="Times New Roman" w:hAnsi="Times New Roman" w:cs="Times New Roman"/>
            <w:sz w:val="24"/>
            <w:szCs w:val="24"/>
            <w:lang w:eastAsia="es-CO"/>
          </w:rPr>
          <w:t>258-1</w:t>
        </w:r>
      </w:hyperlink>
      <w:r w:rsidRPr="006F6B75">
        <w:rPr>
          <w:rFonts w:ascii="Times New Roman" w:eastAsia="Times New Roman" w:hAnsi="Times New Roman" w:cs="Times New Roman"/>
          <w:sz w:val="24"/>
          <w:szCs w:val="24"/>
          <w:lang w:eastAsia="es-CO"/>
        </w:rPr>
        <w:t xml:space="preserve"> del Estatuto Tributario, el artículo 104 de la Ley 788 de 2002 y los previstos en esta ley para las </w:t>
      </w:r>
      <w:proofErr w:type="spellStart"/>
      <w:r w:rsidRPr="006F6B75">
        <w:rPr>
          <w:rFonts w:ascii="Times New Roman" w:eastAsia="Times New Roman" w:hAnsi="Times New Roman" w:cs="Times New Roman"/>
          <w:sz w:val="24"/>
          <w:szCs w:val="24"/>
          <w:lang w:eastAsia="es-CO"/>
        </w:rPr>
        <w:t>Zomac</w:t>
      </w:r>
      <w:proofErr w:type="spellEnd"/>
      <w:r w:rsidRPr="006F6B75">
        <w:rPr>
          <w:rFonts w:ascii="Times New Roman" w:eastAsia="Times New Roman" w:hAnsi="Times New Roman" w:cs="Times New Roman"/>
          <w:sz w:val="24"/>
          <w:szCs w:val="24"/>
          <w:lang w:eastAsia="es-CO"/>
        </w:rPr>
        <w:t>.</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85.</w:t>
      </w:r>
      <w:r w:rsidRPr="006F6B75">
        <w:rPr>
          <w:rFonts w:ascii="Times New Roman" w:eastAsia="Times New Roman" w:hAnsi="Times New Roman" w:cs="Times New Roman"/>
          <w:sz w:val="24"/>
          <w:szCs w:val="24"/>
          <w:lang w:eastAsia="es-CO"/>
        </w:rPr>
        <w:t> Modifíquese el artículo 375 de la Ley 1819 de 2016,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375. </w:t>
      </w:r>
      <w:r w:rsidRPr="006F6B75">
        <w:rPr>
          <w:rFonts w:ascii="Times New Roman" w:eastAsia="Times New Roman" w:hAnsi="Times New Roman" w:cs="Times New Roman"/>
          <w:sz w:val="24"/>
          <w:szCs w:val="24"/>
          <w:lang w:eastAsia="es-CO"/>
        </w:rPr>
        <w:t>Las Instituciones Prestadoras de Salud (IPS) contribuyentes del impuesto sobre la renta podrán deducir la totalidad de la cartera, reconocida y certificada por el liquidador, correspondiente a los patrimonios de las Entidades Promotoras de Salud (EPS) que se encuentren en medida de intervención forzosa administrativa para liquidar por parte de la Superintendencia Nacional de Salud. En la medida en que recuperen dicha cartera, las sumas recuperadas serán renta líquida gravable.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86. </w:t>
      </w:r>
      <w:r w:rsidRPr="006F6B75">
        <w:rPr>
          <w:rFonts w:ascii="Times New Roman" w:eastAsia="Times New Roman" w:hAnsi="Times New Roman" w:cs="Times New Roman"/>
          <w:sz w:val="24"/>
          <w:szCs w:val="24"/>
          <w:lang w:eastAsia="es-CO"/>
        </w:rPr>
        <w:t>Modifíquese el </w:t>
      </w:r>
      <w:hyperlink r:id="rId238" w:tooltip="Estatuto Tributario CETA" w:history="1">
        <w:r w:rsidRPr="006F6B75">
          <w:rPr>
            <w:rFonts w:ascii="Times New Roman" w:eastAsia="Times New Roman" w:hAnsi="Times New Roman" w:cs="Times New Roman"/>
            <w:sz w:val="24"/>
            <w:szCs w:val="24"/>
            <w:lang w:eastAsia="es-CO"/>
          </w:rPr>
          <w:t>artículo 408</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39" w:tooltip="Estatuto Tributario CETA" w:history="1">
        <w:r w:rsidR="00296598" w:rsidRPr="006F6B75">
          <w:rPr>
            <w:rFonts w:ascii="Times New Roman" w:eastAsia="Times New Roman" w:hAnsi="Times New Roman" w:cs="Times New Roman"/>
            <w:b/>
            <w:bCs/>
            <w:sz w:val="24"/>
            <w:szCs w:val="24"/>
            <w:lang w:eastAsia="es-CO"/>
          </w:rPr>
          <w:t>Artículo 408</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Tarifas para rentas de capital y de trabajo</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En los casos de pagos o abonos en cuenta por concepto de intereses, comisiones, honorarios, regalías, arrendamientos, compensaciones por servicios personales, o explotación de toda especie de propiedad industrial o del know-how, prestación de servicios, beneficios o regalías provenientes de la propiedad literaria, artística y científica, explotación de películas cinematográficas y explotación de software, la tarifa de retención será del veinte por ciento (20%) del valor nominal del pago o abono en cuenta.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quince por ciento (15%) sobre el valor del pago o abono en cuenta que corresponda a interés o costo financiero.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pagos o abono en cuenta por concepto de administración o dirección de que trata el </w:t>
      </w:r>
      <w:hyperlink r:id="rId240" w:tooltip="Estatuto Tributario CETA" w:history="1">
        <w:r w:rsidRPr="006F6B75">
          <w:rPr>
            <w:rFonts w:ascii="Times New Roman" w:eastAsia="Times New Roman" w:hAnsi="Times New Roman" w:cs="Times New Roman"/>
            <w:sz w:val="24"/>
            <w:szCs w:val="24"/>
            <w:lang w:eastAsia="es-CO"/>
          </w:rPr>
          <w:t>artículo 124</w:t>
        </w:r>
      </w:hyperlink>
      <w:r w:rsidRPr="006F6B75">
        <w:rPr>
          <w:rFonts w:ascii="Times New Roman" w:eastAsia="Times New Roman" w:hAnsi="Times New Roman" w:cs="Times New Roman"/>
          <w:sz w:val="24"/>
          <w:szCs w:val="24"/>
          <w:lang w:eastAsia="es-CO"/>
        </w:rPr>
        <w:t> del estatuto tributario, realizados a personas no residentes o no domiciliadas en el país, estarán sujetos a una retención en la fuente del treinta y tres por ciento (33%).</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1°. </w:t>
      </w:r>
      <w:r w:rsidRPr="006F6B75">
        <w:rPr>
          <w:rFonts w:ascii="Times New Roman" w:eastAsia="Times New Roman" w:hAnsi="Times New Roman" w:cs="Times New Roman"/>
          <w:sz w:val="24"/>
          <w:szCs w:val="24"/>
          <w:lang w:eastAsia="es-CO"/>
        </w:rPr>
        <w:t>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2°. </w:t>
      </w:r>
      <w:r w:rsidRPr="006F6B75">
        <w:rPr>
          <w:rFonts w:ascii="Times New Roman" w:eastAsia="Times New Roman" w:hAnsi="Times New Roman" w:cs="Times New Roman"/>
          <w:sz w:val="24"/>
          <w:szCs w:val="24"/>
          <w:lang w:eastAsia="es-CO"/>
        </w:rPr>
        <w:t>Los intereses o cánones de arrendamiento financiero o leasing originados en créditos obtenidos en el exterior y en contratos de leasing celebrados antes del 31 de diciembre de 2010, a los que haya sido aplicable el numeral 5 del literal a) o el literal c) del </w:t>
      </w:r>
      <w:hyperlink r:id="rId241" w:tooltip="Estatuto Tributario CETA" w:history="1">
        <w:r w:rsidRPr="006F6B75">
          <w:rPr>
            <w:rFonts w:ascii="Times New Roman" w:eastAsia="Times New Roman" w:hAnsi="Times New Roman" w:cs="Times New Roman"/>
            <w:sz w:val="24"/>
            <w:szCs w:val="24"/>
            <w:lang w:eastAsia="es-CO"/>
          </w:rPr>
          <w:t>artículo 25</w:t>
        </w:r>
      </w:hyperlink>
      <w:r w:rsidRPr="006F6B75">
        <w:rPr>
          <w:rFonts w:ascii="Times New Roman" w:eastAsia="Times New Roman" w:hAnsi="Times New Roman" w:cs="Times New Roman"/>
          <w:sz w:val="24"/>
          <w:szCs w:val="24"/>
          <w:lang w:eastAsia="es-CO"/>
        </w:rPr>
        <w:t> del Estatuto Tributario, no se consideran rentas de fuente nacional y los pagos o abonos en cuenta por estos conceptos no están sujetos a retención en la fuente.</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VI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Gravamen a los movimientos financieros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87.</w:t>
      </w:r>
      <w:r w:rsidRPr="006F6B75">
        <w:rPr>
          <w:rFonts w:ascii="Times New Roman" w:eastAsia="Times New Roman" w:hAnsi="Times New Roman" w:cs="Times New Roman"/>
          <w:sz w:val="24"/>
          <w:szCs w:val="24"/>
          <w:lang w:eastAsia="es-CO"/>
        </w:rPr>
        <w:t> Modifíquense los numerales 11 y 21 del </w:t>
      </w:r>
      <w:hyperlink r:id="rId242" w:tooltip="Estatuto Tributario CETA" w:history="1">
        <w:r w:rsidRPr="006F6B75">
          <w:rPr>
            <w:rFonts w:ascii="Times New Roman" w:eastAsia="Times New Roman" w:hAnsi="Times New Roman" w:cs="Times New Roman"/>
            <w:sz w:val="24"/>
            <w:szCs w:val="24"/>
            <w:lang w:eastAsia="es-CO"/>
          </w:rPr>
          <w:t>artículo 879</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43" w:tooltip="Estatuto Tributario CETA" w:history="1">
        <w:r w:rsidR="00296598" w:rsidRPr="006F6B75">
          <w:rPr>
            <w:rFonts w:ascii="Times New Roman" w:eastAsia="Times New Roman" w:hAnsi="Times New Roman" w:cs="Times New Roman"/>
            <w:b/>
            <w:bCs/>
            <w:sz w:val="24"/>
            <w:szCs w:val="24"/>
            <w:lang w:eastAsia="es-CO"/>
          </w:rPr>
          <w:t>Artículo 879</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Exenciones del GMF. </w:t>
      </w:r>
      <w:r w:rsidR="00296598" w:rsidRPr="006F6B75">
        <w:rPr>
          <w:rFonts w:ascii="Times New Roman" w:eastAsia="Times New Roman" w:hAnsi="Times New Roman" w:cs="Times New Roman"/>
          <w:sz w:val="24"/>
          <w:szCs w:val="24"/>
          <w:lang w:eastAsia="es-CO"/>
        </w:rPr>
        <w:t>Se encuentran exentos del Gravamen a los Movimientos Financieros: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o los créditos externos desembolsados en moneda legal por agentes no residentes en los términos de la regulación cambiaria del Banco de la República, siempre y cuando el desembolso se efectúe al deudor. Cuando el desembolso se haga a un tercero solo será exento cuando el deudor destine el crédito a adquisición de vivienda, vehículos o activos fijos.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21. La disposición de recursos para la realización de operaciones de </w:t>
      </w:r>
      <w:proofErr w:type="spellStart"/>
      <w:r w:rsidRPr="006F6B75">
        <w:rPr>
          <w:rFonts w:ascii="Times New Roman" w:eastAsia="Times New Roman" w:hAnsi="Times New Roman" w:cs="Times New Roman"/>
          <w:sz w:val="24"/>
          <w:szCs w:val="24"/>
          <w:lang w:eastAsia="es-CO"/>
        </w:rPr>
        <w:t>factoring</w:t>
      </w:r>
      <w:proofErr w:type="spellEnd"/>
      <w:r w:rsidRPr="006F6B75">
        <w:rPr>
          <w:rFonts w:ascii="Times New Roman" w:eastAsia="Times New Roman" w:hAnsi="Times New Roman" w:cs="Times New Roman"/>
          <w:sz w:val="24"/>
          <w:szCs w:val="24"/>
          <w:lang w:eastAsia="es-CO"/>
        </w:rPr>
        <w:t>, compra o descuento de cartera, realizadas por fondos de inversión colectiva, patrimonios autónomos, por personas naturales o jurídicas, o por entidades cuyo objeto sea la realización de este tipo de operaciones.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efectos de esta exención, las personas y/o entidades que realicen estas operaciones podrán marcar como exentas del Gravamen a los Movimientos Financieros hasta diez (10) cuentas corrientes o de ahorro o cuentas de patrimonios autónomos o encargos fiduciarios, en todo el sistema financiero destinadas única y exclusivamente a estas operaciones y cuyo objeto sea el recaudo, desembolso y pago del fondeo de las mismas. En caso de tratarse de fondos de inversión colectiva o fideicomisos de inversión colectiva o fideicomiso que administre, destinado a este tipo de operaciones.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El giro de los recursos se deberá realizar solamente al beneficiario de la operación de </w:t>
      </w:r>
      <w:proofErr w:type="spellStart"/>
      <w:r w:rsidRPr="006F6B75">
        <w:rPr>
          <w:rFonts w:ascii="Times New Roman" w:eastAsia="Times New Roman" w:hAnsi="Times New Roman" w:cs="Times New Roman"/>
          <w:sz w:val="24"/>
          <w:szCs w:val="24"/>
          <w:lang w:eastAsia="es-CO"/>
        </w:rPr>
        <w:t>factoring</w:t>
      </w:r>
      <w:proofErr w:type="spellEnd"/>
      <w:r w:rsidRPr="006F6B75">
        <w:rPr>
          <w:rFonts w:ascii="Times New Roman" w:eastAsia="Times New Roman" w:hAnsi="Times New Roman" w:cs="Times New Roman"/>
          <w:sz w:val="24"/>
          <w:szCs w:val="24"/>
          <w:lang w:eastAsia="es-CO"/>
        </w:rPr>
        <w:t xml:space="preserve"> o descuento de cartera, mediante abono a cuenta de ahorro o corriente o mediante la expedición de cheques a los que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 deberá manifestar bajo la gravedad del juramento que las cuentas de ahorros, corrientes o los patrimonios autónomos a marcar, según sea el caso, serán destinados única y exclusivamente a estas operaciones en las condiciones establecidas en este numeral.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88.</w:t>
      </w:r>
      <w:r w:rsidRPr="006F6B75">
        <w:rPr>
          <w:rFonts w:ascii="Times New Roman" w:eastAsia="Times New Roman" w:hAnsi="Times New Roman" w:cs="Times New Roman"/>
          <w:sz w:val="24"/>
          <w:szCs w:val="24"/>
          <w:lang w:eastAsia="es-CO"/>
        </w:rPr>
        <w:t> Adiciónese el numeral 30 al </w:t>
      </w:r>
      <w:hyperlink r:id="rId244" w:tooltip="Estatuto Tributario CETA" w:history="1">
        <w:r w:rsidRPr="006F6B75">
          <w:rPr>
            <w:rFonts w:ascii="Times New Roman" w:eastAsia="Times New Roman" w:hAnsi="Times New Roman" w:cs="Times New Roman"/>
            <w:sz w:val="24"/>
            <w:szCs w:val="24"/>
            <w:lang w:eastAsia="es-CO"/>
          </w:rPr>
          <w:t>artículo 879</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30. La afectación de las cuentas de depósito en el Banco de la República que se origine en el retiro de efectivo en el Banco de la República.</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TÍTULO VI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OTRAS NORMAS PARA AUMENTAR EL RECAUDO A TRAVÉS DE MEDIDAS DE SEGURIDAD JURÍDICA, SIMPLIFICACIÓN Y FACILICITACIÓN (SIC)</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CAPÍTULO 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Procedimiento tributario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89.</w:t>
      </w:r>
      <w:r w:rsidRPr="006F6B75">
        <w:rPr>
          <w:rFonts w:ascii="Times New Roman" w:eastAsia="Times New Roman" w:hAnsi="Times New Roman" w:cs="Times New Roman"/>
          <w:sz w:val="24"/>
          <w:szCs w:val="24"/>
          <w:lang w:eastAsia="es-CO"/>
        </w:rPr>
        <w:t> Modifíquese el inciso 5° del </w:t>
      </w:r>
      <w:hyperlink r:id="rId245" w:tooltip="Estatuto Tributario CETA" w:history="1">
        <w:r w:rsidRPr="006F6B75">
          <w:rPr>
            <w:rFonts w:ascii="Times New Roman" w:eastAsia="Times New Roman" w:hAnsi="Times New Roman" w:cs="Times New Roman"/>
            <w:sz w:val="24"/>
            <w:szCs w:val="24"/>
            <w:lang w:eastAsia="es-CO"/>
          </w:rPr>
          <w:t>artículo 580-1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aun cuando en el sistema la declaración tenga una marca de ineficaz para el agente retenedor bajo los presupuestos establecidos en este artículo.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90.</w:t>
      </w:r>
      <w:r w:rsidRPr="006F6B75">
        <w:rPr>
          <w:rFonts w:ascii="Times New Roman" w:eastAsia="Times New Roman" w:hAnsi="Times New Roman" w:cs="Times New Roman"/>
          <w:sz w:val="24"/>
          <w:szCs w:val="24"/>
          <w:lang w:eastAsia="es-CO"/>
        </w:rPr>
        <w:t> Adiciónese un parágrafo al </w:t>
      </w:r>
      <w:hyperlink r:id="rId246" w:tooltip="Estatuto Tributario CETA" w:history="1">
        <w:r w:rsidRPr="006F6B75">
          <w:rPr>
            <w:rFonts w:ascii="Times New Roman" w:eastAsia="Times New Roman" w:hAnsi="Times New Roman" w:cs="Times New Roman"/>
            <w:sz w:val="24"/>
            <w:szCs w:val="24"/>
            <w:lang w:eastAsia="es-CO"/>
          </w:rPr>
          <w:t>artículo 562</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El empleo de Director Seccional de Impuestos de Grandes Contribuyentes es de libre nombramiento y remoción, su provisión le compete al Director General, de la Dirección de Impuestos y Aduanas Nacionales (DIAN) mediante nombramiento ordinario, exceptuándose de lo dispuesto en el numeral 2 del artículo 333 de la Ley 1819 de 2016 y en el parágrafo del artículo 6° del Decreto 4050 del 2008.</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91.</w:t>
      </w:r>
      <w:r w:rsidRPr="006F6B75">
        <w:rPr>
          <w:rFonts w:ascii="Times New Roman" w:eastAsia="Times New Roman" w:hAnsi="Times New Roman" w:cs="Times New Roman"/>
          <w:sz w:val="24"/>
          <w:szCs w:val="24"/>
          <w:lang w:eastAsia="es-CO"/>
        </w:rPr>
        <w:t> Adiciónese un inciso al </w:t>
      </w:r>
      <w:hyperlink r:id="rId247" w:tooltip="Estatuto Tributario CETA" w:history="1">
        <w:r w:rsidRPr="006F6B75">
          <w:rPr>
            <w:rFonts w:ascii="Times New Roman" w:eastAsia="Times New Roman" w:hAnsi="Times New Roman" w:cs="Times New Roman"/>
            <w:sz w:val="24"/>
            <w:szCs w:val="24"/>
            <w:lang w:eastAsia="es-CO"/>
          </w:rPr>
          <w:t>artículo 563</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 a partir del 1° de julio de 2019.</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Lo dispuesto en este artículo aplica para la notificación de los actos administrativos expedidos por la Unidad de Gestión Pensional y Parafiscales (UGPP) y será el mecanismo preferente de notificación.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92.</w:t>
      </w:r>
      <w:r w:rsidRPr="006F6B75">
        <w:rPr>
          <w:rFonts w:ascii="Times New Roman" w:eastAsia="Times New Roman" w:hAnsi="Times New Roman" w:cs="Times New Roman"/>
          <w:sz w:val="24"/>
          <w:szCs w:val="24"/>
          <w:lang w:eastAsia="es-CO"/>
        </w:rPr>
        <w:t> Modifíquese el inciso 2° y adiciónense el parágrafo 4° y el parágrafo 5° al </w:t>
      </w:r>
      <w:hyperlink r:id="rId248" w:tooltip="Estatuto Tributario CETA" w:history="1">
        <w:r w:rsidRPr="006F6B75">
          <w:rPr>
            <w:rFonts w:ascii="Times New Roman" w:eastAsia="Times New Roman" w:hAnsi="Times New Roman" w:cs="Times New Roman"/>
            <w:sz w:val="24"/>
            <w:szCs w:val="24"/>
            <w:lang w:eastAsia="es-CO"/>
          </w:rPr>
          <w:t>artículo 565</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providencias que decidan recursos se notificarán personalmente, o por edicto si el contribuyente, responsable, agente retenedor o declarante, no compareciere dentro del término de los diez (10) días siguientes, contados a partir del día siguiente de la fecha de introducción al correo del aviso de citación. En este evento también procede la notificación electrónica.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Parágrafo 4°. </w:t>
      </w:r>
      <w:r w:rsidRPr="006F6B75">
        <w:rPr>
          <w:rFonts w:ascii="Times New Roman" w:eastAsia="Times New Roman" w:hAnsi="Times New Roman" w:cs="Times New Roman"/>
          <w:sz w:val="24"/>
          <w:szCs w:val="24"/>
          <w:lang w:eastAsia="es-CO"/>
        </w:rPr>
        <w:t>A partir del 1º de julio de 2019, 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Lo dispuesto en este artículo aplica para la notificación de los actos administrativos expedidos por la Unidad de Gestión Pensional y Parafiscales (UGPP).</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93.</w:t>
      </w:r>
      <w:r w:rsidRPr="006F6B75">
        <w:rPr>
          <w:rFonts w:ascii="Times New Roman" w:eastAsia="Times New Roman" w:hAnsi="Times New Roman" w:cs="Times New Roman"/>
          <w:sz w:val="24"/>
          <w:szCs w:val="24"/>
          <w:lang w:eastAsia="es-CO"/>
        </w:rPr>
        <w:t> Modifíquese el </w:t>
      </w:r>
      <w:hyperlink r:id="rId249" w:tooltip="Estatuto Tributario CETA" w:history="1">
        <w:r w:rsidRPr="006F6B75">
          <w:rPr>
            <w:rFonts w:ascii="Times New Roman" w:eastAsia="Times New Roman" w:hAnsi="Times New Roman" w:cs="Times New Roman"/>
            <w:sz w:val="24"/>
            <w:szCs w:val="24"/>
            <w:lang w:eastAsia="es-CO"/>
          </w:rPr>
          <w:t>artículo 566-1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50" w:tooltip="Estatuto Tributario CETA" w:history="1">
        <w:r w:rsidR="00296598" w:rsidRPr="006F6B75">
          <w:rPr>
            <w:rFonts w:ascii="Times New Roman" w:eastAsia="Times New Roman" w:hAnsi="Times New Roman" w:cs="Times New Roman"/>
            <w:b/>
            <w:bCs/>
            <w:sz w:val="24"/>
            <w:szCs w:val="24"/>
            <w:lang w:eastAsia="es-CO"/>
          </w:rPr>
          <w:t>Artículo 566-1</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Notificación electrónica. </w:t>
      </w:r>
      <w:r w:rsidR="00296598" w:rsidRPr="006F6B75">
        <w:rPr>
          <w:rFonts w:ascii="Times New Roman" w:eastAsia="Times New Roman" w:hAnsi="Times New Roman" w:cs="Times New Roman"/>
          <w:sz w:val="24"/>
          <w:szCs w:val="24"/>
          <w:lang w:eastAsia="es-CO"/>
        </w:rPr>
        <w:t>Es la forma de notificación que se surte de manera electrónica a través de la cual la Dirección de Impuestos y Aduanas Nacionales (DIAN) pone en conocimiento de los administrados los actos administrativos de que trata el </w:t>
      </w:r>
      <w:hyperlink r:id="rId251" w:tooltip="Estatuto Tributario CETA" w:history="1">
        <w:r w:rsidR="00296598" w:rsidRPr="006F6B75">
          <w:rPr>
            <w:rFonts w:ascii="Times New Roman" w:eastAsia="Times New Roman" w:hAnsi="Times New Roman" w:cs="Times New Roman"/>
            <w:sz w:val="24"/>
            <w:szCs w:val="24"/>
            <w:lang w:eastAsia="es-CO"/>
          </w:rPr>
          <w:t>artículo 565</w:t>
        </w:r>
      </w:hyperlink>
      <w:r w:rsidR="00296598" w:rsidRPr="006F6B75">
        <w:rPr>
          <w:rFonts w:ascii="Times New Roman" w:eastAsia="Times New Roman" w:hAnsi="Times New Roman" w:cs="Times New Roman"/>
          <w:sz w:val="24"/>
          <w:szCs w:val="24"/>
          <w:lang w:eastAsia="es-CO"/>
        </w:rPr>
        <w:t> del Estatuto Tributario, incluidos los que se profieran en el proceso de cobro.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Una vez el contribuyente, responsable, agente retenedor o declarante informe la dirección electrónica a la Dirección de Impuestos y Aduanas Nacionales (DIAN) en los términos previstos en los artículos </w:t>
      </w:r>
      <w:hyperlink r:id="rId252" w:tooltip="Estatuto Tributario CETA" w:history="1">
        <w:r w:rsidRPr="006F6B75">
          <w:rPr>
            <w:rFonts w:ascii="Times New Roman" w:eastAsia="Times New Roman" w:hAnsi="Times New Roman" w:cs="Times New Roman"/>
            <w:sz w:val="24"/>
            <w:szCs w:val="24"/>
            <w:lang w:eastAsia="es-CO"/>
          </w:rPr>
          <w:t>563</w:t>
        </w:r>
      </w:hyperlink>
      <w:r w:rsidRPr="006F6B75">
        <w:rPr>
          <w:rFonts w:ascii="Times New Roman" w:eastAsia="Times New Roman" w:hAnsi="Times New Roman" w:cs="Times New Roman"/>
          <w:sz w:val="24"/>
          <w:szCs w:val="24"/>
          <w:lang w:eastAsia="es-CO"/>
        </w:rPr>
        <w:t> y </w:t>
      </w:r>
      <w:hyperlink r:id="rId253" w:tooltip="Estatuto Tributario CETA" w:history="1">
        <w:r w:rsidRPr="006F6B75">
          <w:rPr>
            <w:rFonts w:ascii="Times New Roman" w:eastAsia="Times New Roman" w:hAnsi="Times New Roman" w:cs="Times New Roman"/>
            <w:sz w:val="24"/>
            <w:szCs w:val="24"/>
            <w:lang w:eastAsia="es-CO"/>
          </w:rPr>
          <w:t>565</w:t>
        </w:r>
      </w:hyperlink>
      <w:r w:rsidRPr="006F6B75">
        <w:rPr>
          <w:rFonts w:ascii="Times New Roman" w:eastAsia="Times New Roman" w:hAnsi="Times New Roman" w:cs="Times New Roman"/>
          <w:sz w:val="24"/>
          <w:szCs w:val="24"/>
          <w:lang w:eastAsia="es-CO"/>
        </w:rPr>
        <w:t>, todos los actos administrativos proferidos con posterioridad a ese momento, independientemente de la etapa administrativa en la que se encuentre el proceso, serán notificados a esa dirección hasta que se informe de manera expresa el cambio de dirección.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notificación electrónica se entenderá surtida para todos los efectos legales, en la fecha del envío del acto administrativo en el correo electrónico autorizado; no obstante, los términos legales para el contribuyente, responsable, agente retenedor, declarante o su apoderado para responder o impugnar en sede administrativa, comenzarán a correr transcurridos cinco (5) días a partir del recibo del correo electrónico.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las personas indicadas anteriormente no puedan acceder al contenido del acto administrativo por razones tecnológicas, deberán informarlo a la Dirección de Impuestos y Aduanas Nacionales (DIAN) dentro de los tres (3) días siguientes a su recibo, para que 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recibido.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no sea posible la notificación del acto administrativo en forma electrónica, bien sea por imposibilidad técnica atribuible a la Administración Tributaria o por causas atribuibles al contribuyente, esta se surtirá de conformidad con lo establecido en los artículos </w:t>
      </w:r>
      <w:hyperlink r:id="rId254" w:tooltip="Estatuto Tributario CETA" w:history="1">
        <w:r w:rsidRPr="006F6B75">
          <w:rPr>
            <w:rFonts w:ascii="Times New Roman" w:eastAsia="Times New Roman" w:hAnsi="Times New Roman" w:cs="Times New Roman"/>
            <w:sz w:val="24"/>
            <w:szCs w:val="24"/>
            <w:lang w:eastAsia="es-CO"/>
          </w:rPr>
          <w:t>565</w:t>
        </w:r>
      </w:hyperlink>
      <w:r w:rsidRPr="006F6B75">
        <w:rPr>
          <w:rFonts w:ascii="Times New Roman" w:eastAsia="Times New Roman" w:hAnsi="Times New Roman" w:cs="Times New Roman"/>
          <w:sz w:val="24"/>
          <w:szCs w:val="24"/>
          <w:lang w:eastAsia="es-CO"/>
        </w:rPr>
        <w:t> y </w:t>
      </w:r>
      <w:hyperlink r:id="rId255" w:tooltip="Estatuto Tributario CETA" w:history="1">
        <w:r w:rsidRPr="006F6B75">
          <w:rPr>
            <w:rFonts w:ascii="Times New Roman" w:eastAsia="Times New Roman" w:hAnsi="Times New Roman" w:cs="Times New Roman"/>
            <w:sz w:val="24"/>
            <w:szCs w:val="24"/>
            <w:lang w:eastAsia="es-CO"/>
          </w:rPr>
          <w:t>568</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los actos administrativos enviados por correo electrónico no puedan notificarse por causas atribuibles al contribuyente, responsable, agente retenedor, declarante o su apoderado, en la dirección electrónica autorizada, esta se surtirá de conformidad con lo establecido en los artículos </w:t>
      </w:r>
      <w:hyperlink r:id="rId256" w:tooltip="Estatuto Tributario CETA" w:history="1">
        <w:r w:rsidRPr="006F6B75">
          <w:rPr>
            <w:rFonts w:ascii="Times New Roman" w:eastAsia="Times New Roman" w:hAnsi="Times New Roman" w:cs="Times New Roman"/>
            <w:sz w:val="24"/>
            <w:szCs w:val="24"/>
            <w:lang w:eastAsia="es-CO"/>
          </w:rPr>
          <w:t>565</w:t>
        </w:r>
      </w:hyperlink>
      <w:r w:rsidRPr="006F6B75">
        <w:rPr>
          <w:rFonts w:ascii="Times New Roman" w:eastAsia="Times New Roman" w:hAnsi="Times New Roman" w:cs="Times New Roman"/>
          <w:sz w:val="24"/>
          <w:szCs w:val="24"/>
          <w:lang w:eastAsia="es-CO"/>
        </w:rPr>
        <w:t> y </w:t>
      </w:r>
      <w:hyperlink r:id="rId257" w:tooltip="Estatuto Tributario CETA" w:history="1">
        <w:r w:rsidRPr="006F6B75">
          <w:rPr>
            <w:rFonts w:ascii="Times New Roman" w:eastAsia="Times New Roman" w:hAnsi="Times New Roman" w:cs="Times New Roman"/>
            <w:sz w:val="24"/>
            <w:szCs w:val="24"/>
            <w:lang w:eastAsia="es-CO"/>
          </w:rPr>
          <w:t>568</w:t>
        </w:r>
      </w:hyperlink>
      <w:r w:rsidRPr="006F6B75">
        <w:rPr>
          <w:rFonts w:ascii="Times New Roman" w:eastAsia="Times New Roman" w:hAnsi="Times New Roman" w:cs="Times New Roman"/>
          <w:sz w:val="24"/>
          <w:szCs w:val="24"/>
          <w:lang w:eastAsia="es-CO"/>
        </w:rPr>
        <w:t> del Estatuto Tributario. En este caso, la notificación se entenderá surtida para efectos de los términos de la Dirección de Impuestos y Aduanas Nacionales (DIAN),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Lo dispuesto en el presente artículo aplica para la notificación de los actos administrativos expedidos por la Unidad de Gestión Pensional y Parafiscales (UGPP).</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94.</w:t>
      </w:r>
      <w:r w:rsidRPr="006F6B75">
        <w:rPr>
          <w:rFonts w:ascii="Times New Roman" w:eastAsia="Times New Roman" w:hAnsi="Times New Roman" w:cs="Times New Roman"/>
          <w:sz w:val="24"/>
          <w:szCs w:val="24"/>
          <w:lang w:eastAsia="es-CO"/>
        </w:rPr>
        <w:t> Adiciónese el artículo 574-1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574-1. </w:t>
      </w:r>
      <w:r w:rsidRPr="006F6B75">
        <w:rPr>
          <w:rFonts w:ascii="Times New Roman" w:eastAsia="Times New Roman" w:hAnsi="Times New Roman" w:cs="Times New Roman"/>
          <w:b/>
          <w:bCs/>
          <w:i/>
          <w:iCs/>
          <w:sz w:val="24"/>
          <w:szCs w:val="24"/>
          <w:lang w:eastAsia="es-CO"/>
        </w:rPr>
        <w:t>Anexo de otras deducciones a la declaración del impuesto sobre la renta y complementarios</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95.</w:t>
      </w:r>
      <w:r w:rsidRPr="006F6B75">
        <w:rPr>
          <w:rFonts w:ascii="Times New Roman" w:eastAsia="Times New Roman" w:hAnsi="Times New Roman" w:cs="Times New Roman"/>
          <w:sz w:val="24"/>
          <w:szCs w:val="24"/>
          <w:lang w:eastAsia="es-CO"/>
        </w:rPr>
        <w:t> Adiciónense un parágrafo y un parágrafo transitorio al </w:t>
      </w:r>
      <w:hyperlink r:id="rId258" w:tooltip="Estatuto Tributario CETA" w:history="1">
        <w:r w:rsidRPr="006F6B75">
          <w:rPr>
            <w:rFonts w:ascii="Times New Roman" w:eastAsia="Times New Roman" w:hAnsi="Times New Roman" w:cs="Times New Roman"/>
            <w:sz w:val="24"/>
            <w:szCs w:val="24"/>
            <w:lang w:eastAsia="es-CO"/>
          </w:rPr>
          <w:t>artículo 590</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En esta oportunidad procesal, el contribuyente, responsable, agente retenedor o declarante podrá decidir pagar total o parcialmente las glosas planteadas en el pliego de cargos, requerimiento especial o liquidación de revisión, según el caso, liquidando el interés bancario corriente, certificado por la Superintendencia Financiera de Colombia, para la modalidad de créditos de consumo y ordinario, más dos (2) puntos porcentuales, con la correspondiente liquidación privada, para evitar la aplicación de los intereses moratorios y obtener la reducción de la sanción por inexactitud conforme lo autorizan los artículos </w:t>
      </w:r>
      <w:hyperlink r:id="rId259" w:tooltip="Estatuto Tributario CETA" w:history="1">
        <w:r w:rsidRPr="006F6B75">
          <w:rPr>
            <w:rFonts w:ascii="Times New Roman" w:eastAsia="Times New Roman" w:hAnsi="Times New Roman" w:cs="Times New Roman"/>
            <w:sz w:val="24"/>
            <w:szCs w:val="24"/>
            <w:lang w:eastAsia="es-CO"/>
          </w:rPr>
          <w:t>709</w:t>
        </w:r>
      </w:hyperlink>
      <w:r w:rsidRPr="006F6B75">
        <w:rPr>
          <w:rFonts w:ascii="Times New Roman" w:eastAsia="Times New Roman" w:hAnsi="Times New Roman" w:cs="Times New Roman"/>
          <w:sz w:val="24"/>
          <w:szCs w:val="24"/>
          <w:lang w:eastAsia="es-CO"/>
        </w:rPr>
        <w:t> y </w:t>
      </w:r>
      <w:hyperlink r:id="rId260" w:tooltip="Estatuto Tributario CETA" w:history="1">
        <w:r w:rsidRPr="006F6B75">
          <w:rPr>
            <w:rFonts w:ascii="Times New Roman" w:eastAsia="Times New Roman" w:hAnsi="Times New Roman" w:cs="Times New Roman"/>
            <w:sz w:val="24"/>
            <w:szCs w:val="24"/>
            <w:lang w:eastAsia="es-CO"/>
          </w:rPr>
          <w:t>713</w:t>
        </w:r>
      </w:hyperlink>
      <w:r w:rsidRPr="006F6B75">
        <w:rPr>
          <w:rFonts w:ascii="Times New Roman" w:eastAsia="Times New Roman" w:hAnsi="Times New Roman" w:cs="Times New Roman"/>
          <w:sz w:val="24"/>
          <w:szCs w:val="24"/>
          <w:lang w:eastAsia="es-CO"/>
        </w:rPr>
        <w: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interés bancario corriente de que trata este parágrafo será liquidado en proporción con los hechos aceptados. Lo anterior sin perjuicio de la posibilidad que tiene el contribuyente de seguir discutiendo los asuntos de fondo.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relación con las actuaciones de que trata este artículo, en el caso de acuerdo de pago, a partir de la suscripción del mismo, se liquidarán los intereses corrientes, certificados por la Superintendencia Financiera de Colombia, para la modalidad de créditos de consumo y ordinario, más dos (2) puntos porcentuales, en lugar de los intereses moratorias establecidos en el </w:t>
      </w:r>
      <w:hyperlink r:id="rId261" w:tooltip="Estatuto Tributario CETA" w:history="1">
        <w:r w:rsidRPr="006F6B75">
          <w:rPr>
            <w:rFonts w:ascii="Times New Roman" w:eastAsia="Times New Roman" w:hAnsi="Times New Roman" w:cs="Times New Roman"/>
            <w:sz w:val="24"/>
            <w:szCs w:val="24"/>
            <w:lang w:eastAsia="es-CO"/>
          </w:rPr>
          <w:t>artículo 634</w:t>
        </w:r>
      </w:hyperlink>
      <w:r w:rsidRPr="006F6B75">
        <w:rPr>
          <w:rFonts w:ascii="Times New Roman" w:eastAsia="Times New Roman" w:hAnsi="Times New Roman" w:cs="Times New Roman"/>
          <w:sz w:val="24"/>
          <w:szCs w:val="24"/>
          <w:lang w:eastAsia="es-CO"/>
        </w:rPr>
        <w: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lastRenderedPageBreak/>
        <w:t>Parágrafo Transitorio. </w:t>
      </w:r>
      <w:r w:rsidRPr="006F6B75">
        <w:rPr>
          <w:rFonts w:ascii="Times New Roman" w:eastAsia="Times New Roman" w:hAnsi="Times New Roman" w:cs="Times New Roman"/>
          <w:sz w:val="24"/>
          <w:szCs w:val="24"/>
          <w:lang w:eastAsia="es-CO"/>
        </w:rPr>
        <w:t>El parágrafo anterior aplicará para los procedimientos adelantados por la DIAN que se encuentren en trámite a la entrada en vigencia de la presente ley y, respecto de los procedimientos que se adelanten con posterioridad a la entrada en vigencia de la misma.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96.</w:t>
      </w:r>
      <w:r w:rsidRPr="006F6B75">
        <w:rPr>
          <w:rFonts w:ascii="Times New Roman" w:eastAsia="Times New Roman" w:hAnsi="Times New Roman" w:cs="Times New Roman"/>
          <w:sz w:val="24"/>
          <w:szCs w:val="24"/>
          <w:lang w:eastAsia="es-CO"/>
        </w:rPr>
        <w:t> Modifíquese el </w:t>
      </w:r>
      <w:hyperlink r:id="rId262" w:tooltip="Estatuto Tributario CETA" w:history="1">
        <w:r w:rsidRPr="006F6B75">
          <w:rPr>
            <w:rFonts w:ascii="Times New Roman" w:eastAsia="Times New Roman" w:hAnsi="Times New Roman" w:cs="Times New Roman"/>
            <w:sz w:val="24"/>
            <w:szCs w:val="24"/>
            <w:lang w:eastAsia="es-CO"/>
          </w:rPr>
          <w:t>artículo 684-4</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0845BD" w:rsidP="00296598">
      <w:pPr>
        <w:spacing w:after="0" w:line="240" w:lineRule="auto"/>
        <w:ind w:left="180"/>
        <w:jc w:val="both"/>
        <w:rPr>
          <w:rFonts w:ascii="Times New Roman" w:eastAsia="Times New Roman" w:hAnsi="Times New Roman" w:cs="Times New Roman"/>
          <w:sz w:val="24"/>
          <w:szCs w:val="24"/>
          <w:lang w:eastAsia="es-CO"/>
        </w:rPr>
      </w:pPr>
      <w:hyperlink r:id="rId263" w:tooltip="Estatuto Tributario CETA" w:history="1">
        <w:r w:rsidR="00296598" w:rsidRPr="006F6B75">
          <w:rPr>
            <w:rFonts w:ascii="Times New Roman" w:eastAsia="Times New Roman" w:hAnsi="Times New Roman" w:cs="Times New Roman"/>
            <w:b/>
            <w:bCs/>
            <w:sz w:val="24"/>
            <w:szCs w:val="24"/>
            <w:lang w:eastAsia="es-CO"/>
          </w:rPr>
          <w:t>Artículo 684-4</w:t>
        </w:r>
      </w:hyperlink>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b/>
          <w:bCs/>
          <w:i/>
          <w:iCs/>
          <w:sz w:val="24"/>
          <w:szCs w:val="24"/>
          <w:lang w:eastAsia="es-CO"/>
        </w:rPr>
        <w:t>Sanciones aplicables a los proveedores autorizados y tecnológicos</w:t>
      </w:r>
      <w:r w:rsidR="00296598" w:rsidRPr="006F6B75">
        <w:rPr>
          <w:rFonts w:ascii="Times New Roman" w:eastAsia="Times New Roman" w:hAnsi="Times New Roman" w:cs="Times New Roman"/>
          <w:b/>
          <w:bCs/>
          <w:sz w:val="24"/>
          <w:szCs w:val="24"/>
          <w:lang w:eastAsia="es-CO"/>
        </w:rPr>
        <w:t>. </w:t>
      </w:r>
      <w:r w:rsidR="00296598" w:rsidRPr="006F6B75">
        <w:rPr>
          <w:rFonts w:ascii="Times New Roman" w:eastAsia="Times New Roman" w:hAnsi="Times New Roman" w:cs="Times New Roman"/>
          <w:sz w:val="24"/>
          <w:szCs w:val="24"/>
          <w:lang w:eastAsia="es-CO"/>
        </w:rPr>
        <w:t>El proveedor autorizado y/o el proveedor tecnológico será sancionado con la imposibilidad de contratar con nuevos clientes para prestar sus servicios, con el objetivo de cumplir alguna o varias de las funciones establecidas en el numeral 1 del </w:t>
      </w:r>
      <w:hyperlink r:id="rId264" w:tooltip="Estatuto Tributario CETA" w:history="1">
        <w:r w:rsidR="00296598" w:rsidRPr="006F6B75">
          <w:rPr>
            <w:rFonts w:ascii="Times New Roman" w:eastAsia="Times New Roman" w:hAnsi="Times New Roman" w:cs="Times New Roman"/>
            <w:sz w:val="24"/>
            <w:szCs w:val="24"/>
            <w:lang w:eastAsia="es-CO"/>
          </w:rPr>
          <w:t>artículo 616-4</w:t>
        </w:r>
      </w:hyperlink>
      <w:r w:rsidR="00296598" w:rsidRPr="006F6B75">
        <w:rPr>
          <w:rFonts w:ascii="Times New Roman" w:eastAsia="Times New Roman" w:hAnsi="Times New Roman" w:cs="Times New Roman"/>
          <w:sz w:val="24"/>
          <w:szCs w:val="24"/>
          <w:lang w:eastAsia="es-CO"/>
        </w:rPr>
        <w:t> del Estatuto Tributario, cuando incurra en alguna de las infracciones previstas en el numeral segundo de ese mismo artículo, de forma reiterada. 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caso de que la reincidencia se presente por tercera vez, de acuerdo con el </w:t>
      </w:r>
      <w:hyperlink r:id="rId265" w:tooltip="Estatuto Tributario CETA" w:history="1">
        <w:r w:rsidRPr="006F6B75">
          <w:rPr>
            <w:rFonts w:ascii="Times New Roman" w:eastAsia="Times New Roman" w:hAnsi="Times New Roman" w:cs="Times New Roman"/>
            <w:sz w:val="24"/>
            <w:szCs w:val="24"/>
            <w:lang w:eastAsia="es-CO"/>
          </w:rPr>
          <w:t>artículo 640</w:t>
        </w:r>
      </w:hyperlink>
      <w:r w:rsidRPr="006F6B75">
        <w:rPr>
          <w:rFonts w:ascii="Times New Roman" w:eastAsia="Times New Roman" w:hAnsi="Times New Roman" w:cs="Times New Roman"/>
          <w:sz w:val="24"/>
          <w:szCs w:val="24"/>
          <w:lang w:eastAsia="es-CO"/>
        </w:rPr>
        <w:t> del Estatuto Tributario, por incurrir en la misma infracción que generó la sanción u otra de las establecidas en el mismo numeral, el proveedor tecnológico y/o el proveedor autorizado será sancionado con la cancelación de la habilitación y solo podrá ejercer como proveedor tecnológico y/o proveedor autorizado, trascurrido un (1) año de haber sido cancelada su habilitación, para lo cual deberá surtir nuevamente el procedimiento previsto para ello.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sanciones previstas en este artículo se impondrán aplicando el procedimiento establecido en la oportunidad establecida en el </w:t>
      </w:r>
      <w:hyperlink r:id="rId266" w:tooltip="Estatuto Tributario CETA" w:history="1">
        <w:r w:rsidRPr="006F6B75">
          <w:rPr>
            <w:rFonts w:ascii="Times New Roman" w:eastAsia="Times New Roman" w:hAnsi="Times New Roman" w:cs="Times New Roman"/>
            <w:sz w:val="24"/>
            <w:szCs w:val="24"/>
            <w:lang w:eastAsia="es-CO"/>
          </w:rPr>
          <w:t>artículo 638</w:t>
        </w:r>
      </w:hyperlink>
      <w:r w:rsidRPr="006F6B75">
        <w:rPr>
          <w:rFonts w:ascii="Times New Roman" w:eastAsia="Times New Roman" w:hAnsi="Times New Roman" w:cs="Times New Roman"/>
          <w:sz w:val="24"/>
          <w:szCs w:val="24"/>
          <w:lang w:eastAsia="es-CO"/>
        </w:rPr>
        <w:t> del Estatuto Tributario. El investigado dispondrá de un mes contado a partir de la notificación del pliego de cargos para dar respuesta, presentar los descargos y solicitar las pruebas que considere pertinentes.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97.</w:t>
      </w:r>
      <w:r w:rsidRPr="006F6B75">
        <w:rPr>
          <w:rFonts w:ascii="Times New Roman" w:eastAsia="Times New Roman" w:hAnsi="Times New Roman" w:cs="Times New Roman"/>
          <w:sz w:val="24"/>
          <w:szCs w:val="24"/>
          <w:lang w:eastAsia="es-CO"/>
        </w:rPr>
        <w:t> Modifíquense el numeral 3 del parágrafo y el parágrafo transitorio del </w:t>
      </w:r>
      <w:hyperlink r:id="rId267" w:tooltip="Estatuto Tributario CETA" w:history="1">
        <w:r w:rsidRPr="006F6B75">
          <w:rPr>
            <w:rFonts w:ascii="Times New Roman" w:eastAsia="Times New Roman" w:hAnsi="Times New Roman" w:cs="Times New Roman"/>
            <w:sz w:val="24"/>
            <w:szCs w:val="24"/>
            <w:lang w:eastAsia="es-CO"/>
          </w:rPr>
          <w:t>artículo 814</w:t>
        </w:r>
      </w:hyperlink>
      <w:r w:rsidRPr="006F6B75">
        <w:rPr>
          <w:rFonts w:ascii="Times New Roman" w:eastAsia="Times New Roman" w:hAnsi="Times New Roman" w:cs="Times New Roman"/>
          <w:sz w:val="24"/>
          <w:szCs w:val="24"/>
          <w:lang w:eastAsia="es-CO"/>
        </w:rPr>
        <w:t> del Estatuto Tributario, los cuales quedarán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Los intereses que se causen por el plazo otorgado en el acuerdo de pago para las obligaciones fiscales susceptibles de negociación, se liquidarán a la tasa que se haya pactado en el acuerdo de restructuración con las entidades financieras. Dicha tasa se podrá aplicar desde el vencimiento original de las obligaciones fiscales objeto de la facilidad de pago, cuando desde el punto de vista de viabilidad financiera de la compañía sea necesario reliquidar este interés, de conformidad con las siguientes reglas: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En ningún caso la tasa de interés efectiva de las obligaciones fiscales podrá ser inferior a la tasa de interés efectiva más alta pactada a favor de cualquiera de los otros acreedores;</w:t>
      </w:r>
    </w:p>
    <w:p w:rsidR="002D7B39" w:rsidRPr="006F6B75" w:rsidRDefault="002D7B39" w:rsidP="00296598">
      <w:pPr>
        <w:spacing w:after="0" w:line="240" w:lineRule="auto"/>
        <w:ind w:left="180"/>
        <w:jc w:val="both"/>
        <w:rPr>
          <w:rFonts w:ascii="Times New Roman" w:eastAsia="Times New Roman" w:hAnsi="Times New Roman" w:cs="Times New Roman"/>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La tasa de interés de las obligaciones fiscales que se pacte en acuerdo de pago, no podrá ser inferior al índice de precios al consumidor certificado por el DANE incrementado en el cincuenta por ciento (50%).</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w:t>
      </w:r>
    </w:p>
    <w:p w:rsidR="002D7B39" w:rsidRPr="006F6B75" w:rsidRDefault="002D7B39" w:rsidP="00296598">
      <w:pPr>
        <w:spacing w:after="0" w:line="240" w:lineRule="auto"/>
        <w:ind w:left="180"/>
        <w:jc w:val="both"/>
        <w:rPr>
          <w:rFonts w:ascii="Times New Roman" w:eastAsia="Times New Roman" w:hAnsi="Times New Roman" w:cs="Times New Roman"/>
          <w:b/>
          <w:bCs/>
          <w:sz w:val="24"/>
          <w:szCs w:val="24"/>
          <w:lang w:eastAsia="es-CO"/>
        </w:rPr>
      </w:pP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Transitorio. </w:t>
      </w:r>
      <w:r w:rsidRPr="006F6B75">
        <w:rPr>
          <w:rFonts w:ascii="Times New Roman" w:eastAsia="Times New Roman" w:hAnsi="Times New Roman" w:cs="Times New Roman"/>
          <w:sz w:val="24"/>
          <w:szCs w:val="24"/>
          <w:lang w:eastAsia="es-CO"/>
        </w:rPr>
        <w:t>En aquellos casos en que el respectivo deudor haya celebrado un acuerdo de restructuración de su deuda con establecimientos financieros, la DIAN podrá reliquidar las facilidades de pago que se encuentren vigentes a la fecha de expedición de la presente ley. Lo anterior, con la finalidad de recalcular los intereses a cargo del contribuyente, aplicando para efectos de este recalculo, la tasa que se haya pactado en el acuerdo de restructuración mencionado a las obligaciones fiscales objeto de la facilidad de pago, desde la fecha original de vencimiento de estas.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98.</w:t>
      </w:r>
      <w:r w:rsidRPr="006F6B75">
        <w:rPr>
          <w:rFonts w:ascii="Times New Roman" w:eastAsia="Times New Roman" w:hAnsi="Times New Roman" w:cs="Times New Roman"/>
          <w:sz w:val="24"/>
          <w:szCs w:val="24"/>
          <w:lang w:eastAsia="es-CO"/>
        </w:rPr>
        <w:t> Adiciónese un parágrafo 5 al </w:t>
      </w:r>
      <w:hyperlink r:id="rId268" w:tooltip="Estatuto Tributario CETA" w:history="1">
        <w:r w:rsidRPr="006F6B75">
          <w:rPr>
            <w:rFonts w:ascii="Times New Roman" w:eastAsia="Times New Roman" w:hAnsi="Times New Roman" w:cs="Times New Roman"/>
            <w:sz w:val="24"/>
            <w:szCs w:val="24"/>
            <w:lang w:eastAsia="es-CO"/>
          </w:rPr>
          <w:t>artículo 855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La Dirección de Impuestos y Aduanas Nacionales (DIAN) podrá devolver, de forma automática, los saldos a favor originados en el impuesto sobre la renta y sobre las ventas.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mecanismo de devolución automática de saldos a favor aplica para los contribuyentes y responsables que: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No representen un riesgo alto de conformidad con el sistema de análisis de riesgo de la Dirección de Impuestos y Aduanas Nacionales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Más del ochenta y cinco por ciento (85%) de los costos o gastos y/o impuestos sobre las ventas descontables provengan de proveedores que emitan sus facturas mediante el mecanismo de factura electrónica.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Gobierno Nacional reglamentará el mecanismo de devolución automática.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99.</w:t>
      </w:r>
      <w:r w:rsidRPr="006F6B75">
        <w:rPr>
          <w:rFonts w:ascii="Times New Roman" w:eastAsia="Times New Roman" w:hAnsi="Times New Roman" w:cs="Times New Roman"/>
          <w:sz w:val="24"/>
          <w:szCs w:val="24"/>
          <w:lang w:eastAsia="es-CO"/>
        </w:rPr>
        <w:t> Adiciónese el artículo 869-3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869-3. </w:t>
      </w:r>
      <w:r w:rsidRPr="006F6B75">
        <w:rPr>
          <w:rFonts w:ascii="Times New Roman" w:eastAsia="Times New Roman" w:hAnsi="Times New Roman" w:cs="Times New Roman"/>
          <w:b/>
          <w:bCs/>
          <w:i/>
          <w:iCs/>
          <w:sz w:val="24"/>
          <w:szCs w:val="24"/>
          <w:lang w:eastAsia="es-CO"/>
        </w:rPr>
        <w:t>Procedimiento de mutuo acuerdo</w:t>
      </w:r>
      <w:r w:rsidRPr="006F6B75">
        <w:rPr>
          <w:rFonts w:ascii="Times New Roman" w:eastAsia="Times New Roman" w:hAnsi="Times New Roman" w:cs="Times New Roman"/>
          <w:b/>
          <w:bCs/>
          <w:sz w:val="24"/>
          <w:szCs w:val="24"/>
          <w:lang w:eastAsia="es-CO"/>
        </w:rPr>
        <w:t>. </w:t>
      </w:r>
      <w:r w:rsidRPr="006F6B75">
        <w:rPr>
          <w:rFonts w:ascii="Times New Roman" w:eastAsia="Times New Roman" w:hAnsi="Times New Roman" w:cs="Times New Roman"/>
          <w:sz w:val="24"/>
          <w:szCs w:val="24"/>
          <w:lang w:eastAsia="es-CO"/>
        </w:rPr>
        <w:t xml:space="preserve">Los contribuyentes podrán solicitar asistencia para el Procedimiento de Mutuo Acuerdo (MAP) regulado en los convenios para evitar la doble imposición suscritos por Colombia a través de la presentación de una solicitud </w:t>
      </w:r>
      <w:r w:rsidRPr="006F6B75">
        <w:rPr>
          <w:rFonts w:ascii="Times New Roman" w:eastAsia="Times New Roman" w:hAnsi="Times New Roman" w:cs="Times New Roman"/>
          <w:sz w:val="24"/>
          <w:szCs w:val="24"/>
          <w:lang w:eastAsia="es-CO"/>
        </w:rPr>
        <w:lastRenderedPageBreak/>
        <w:t>formal ante la Dirección de Impuestos y Aduanas Nacionales (DIAN). El contenido de la solicitud, así como los detalles del procedimiento, serán aquéllos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acuerdos que suscriba la Autoridad Competente de Colombia en desarrollo del Procedimiento de Mutuo Acuerdo (MAP) establecido en los convenios para evitar la doble imposición, tendrán la misma naturaleza jurídica y tratamiento que un fallo judicial definitivo, por lo cual prestarán mérito ejecutivo, no serán susceptibles de recurso alguno, y podrán ser implementados en cualquier momento independientemente del período de firmeza establecido para las declaraciones pertinentes.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100.</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Conciliación contencioso-administrativa en materia tributaria. </w:t>
      </w:r>
      <w:r w:rsidRPr="006F6B75">
        <w:rPr>
          <w:rFonts w:ascii="Times New Roman" w:eastAsia="Times New Roman" w:hAnsi="Times New Roman" w:cs="Times New Roman"/>
          <w:sz w:val="24"/>
          <w:szCs w:val="24"/>
          <w:lang w:eastAsia="es-CO"/>
        </w:rPr>
        <w:t>Facúltese a la Dirección de Impuestos y Aduanas Nacionales (DIAN) para realizar conciliaciones en procesos contenciosos administrativos, en materia tributaria, aduanera y cambiaría de acuerdo con los siguientes términos y condiciones: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Por el ochenta (80%) del valor total de las sanciones, intereses y actualización según el caso, cuando el proceso contra una liquidación oficial se encuentre en única o primera instancia ante </w:t>
      </w:r>
      <w:r w:rsidRPr="006F6B75">
        <w:rPr>
          <w:rFonts w:ascii="Times New Roman" w:eastAsia="Times New Roman" w:hAnsi="Times New Roman" w:cs="Times New Roman"/>
          <w:sz w:val="24"/>
          <w:szCs w:val="24"/>
          <w:lang w:eastAsia="es-CO"/>
        </w:rPr>
        <w:lastRenderedPageBreak/>
        <w:t>un Juzgado Administrativo o Tribunal Administrativo, siempre y cuando el demandante pague el ciento por ciento (100%) del impuesto en discusión y el veinte por ciento (20%) del valor total de las sanciones, intereses y actualización.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el proceso contra una liquidación oficial tributaria, y aduanera,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efectos de la aplicación de este artículo, los contribuyentes, agentes de retención, declarantes, responsables y usuarios aduaneros o cambiarios, según se trate, deberán cumplir con los siguientes requisitos y condiciones: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 Haber presentado la demanda antes de la entrada en vigencia de esta ley.</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 Que la demanda haya sido admitida antes de la presentación de la solicitud de conciliación ante la Administración.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 Que no exista sentencia o decisión judicial en firme que le ponga fin al respectivo proceso judicial.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Adjuntar prueba del pago, de las obligaciones objeto de conciliación de acuerdo con lo indicado en los incisos anteriores.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 Aportar prueba del pago de la liquidación privada del impuesto o tributo objeto de conciliación correspondiente al año gravable 2018, siempre que hubiere lugar al pago de dicho impuesto.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 Que la solicitud de conciliación sea presentada ante la Dirección de Impuestos y Aduanas Nacionales (DIAN) hasta el día 30 de septiembre de 2019.</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El acta que dé lugar a la conciliación deberá suscribirse a más tardar el día 31 de octubre de 2019 y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w:t>
      </w:r>
      <w:r w:rsidRPr="006F6B75">
        <w:rPr>
          <w:rFonts w:ascii="Times New Roman" w:eastAsia="Times New Roman" w:hAnsi="Times New Roman" w:cs="Times New Roman"/>
          <w:sz w:val="24"/>
          <w:szCs w:val="24"/>
          <w:lang w:eastAsia="es-CO"/>
        </w:rPr>
        <w:lastRenderedPageBreak/>
        <w:t>legales. Las conciliaciones de que trata el presente artículo, deberán ser aceptadas por la autoridad judicial respectiva, dentro del término aquí mencionado.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sentencia o auto que apruebe la conciliación prestará mérito ejecutivo de conformidad con lo señalado en los artículos </w:t>
      </w:r>
      <w:hyperlink r:id="rId269" w:tooltip="Estatuto Tributario CETA" w:history="1">
        <w:r w:rsidRPr="006F6B75">
          <w:rPr>
            <w:rFonts w:ascii="Times New Roman" w:eastAsia="Times New Roman" w:hAnsi="Times New Roman" w:cs="Times New Roman"/>
            <w:sz w:val="24"/>
            <w:szCs w:val="24"/>
            <w:lang w:eastAsia="es-CO"/>
          </w:rPr>
          <w:t>828</w:t>
        </w:r>
      </w:hyperlink>
      <w:r w:rsidRPr="006F6B75">
        <w:rPr>
          <w:rFonts w:ascii="Times New Roman" w:eastAsia="Times New Roman" w:hAnsi="Times New Roman" w:cs="Times New Roman"/>
          <w:sz w:val="24"/>
          <w:szCs w:val="24"/>
          <w:lang w:eastAsia="es-CO"/>
        </w:rPr>
        <w:t> y </w:t>
      </w:r>
      <w:hyperlink r:id="rId270" w:tooltip="Estatuto Tributario CETA" w:history="1">
        <w:r w:rsidRPr="006F6B75">
          <w:rPr>
            <w:rFonts w:ascii="Times New Roman" w:eastAsia="Times New Roman" w:hAnsi="Times New Roman" w:cs="Times New Roman"/>
            <w:sz w:val="24"/>
            <w:szCs w:val="24"/>
            <w:lang w:eastAsia="es-CO"/>
          </w:rPr>
          <w:t>829</w:t>
        </w:r>
      </w:hyperlink>
      <w:r w:rsidRPr="006F6B75">
        <w:rPr>
          <w:rFonts w:ascii="Times New Roman" w:eastAsia="Times New Roman" w:hAnsi="Times New Roman" w:cs="Times New Roman"/>
          <w:sz w:val="24"/>
          <w:szCs w:val="24"/>
          <w:lang w:eastAsia="es-CO"/>
        </w:rPr>
        <w:t> del Estatuto Tributario, y hará tránsito a cosa juzgada.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 no previsto en esta disposición se regulará conforme lo dispuesto en la Ley 446 de 1998 y el Código de Procedimiento Administrativo y de lo Contencioso Administrativo, con excepción de las normas que le sean contrarias.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 </w:t>
      </w:r>
      <w:r w:rsidRPr="006F6B75">
        <w:rPr>
          <w:rFonts w:ascii="Times New Roman" w:eastAsia="Times New Roman" w:hAnsi="Times New Roman" w:cs="Times New Roman"/>
          <w:sz w:val="24"/>
          <w:szCs w:val="24"/>
          <w:lang w:eastAsia="es-CO"/>
        </w:rPr>
        <w:t>La conciliación podrá ser solicitada por aquellos que tengan la calidad de deudores solidarios o garantes del obligado.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No podrán acceder a los beneficios de que trata el presente artículo los deudores que hayan suscrito acuerdos de pago con fundamento en el artículo 7º de la Ley 1066 de 2006, el artículo 1° de la Ley 1175 de 2007, el artículo 48 de la Ley 1430 de 2010, los artículos 147, 148 y 149 de la Ley 1607 de 2012, los artículos 55, 56 y 57 de la Ley 1739 de 2014, y los artículos 305 y 306 de la Ley 1819 de 2016, que a la entrada en vigencia de la presente ley se encuentren en mora por las obligaciones contenidas en los mismos.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 </w:t>
      </w:r>
      <w:r w:rsidRPr="006F6B75">
        <w:rPr>
          <w:rFonts w:ascii="Times New Roman" w:eastAsia="Times New Roman" w:hAnsi="Times New Roman" w:cs="Times New Roman"/>
          <w:sz w:val="24"/>
          <w:szCs w:val="24"/>
          <w:lang w:eastAsia="es-CO"/>
        </w:rPr>
        <w:t>En materia aduanera, la conciliación prevista en este artículo no aplicará en relación con los actos de definición de la situación jurídica de las mercancías.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 </w:t>
      </w:r>
      <w:r w:rsidRPr="006F6B75">
        <w:rPr>
          <w:rFonts w:ascii="Times New Roman" w:eastAsia="Times New Roman" w:hAnsi="Times New Roman" w:cs="Times New Roman"/>
          <w:sz w:val="24"/>
          <w:szCs w:val="24"/>
          <w:lang w:eastAsia="es-CO"/>
        </w:rPr>
        <w:t>Los procesos que se encuentren surtiendo el recurso de súplica o de revisión ante el Consejo de Estado no serán objeto de la conciliación prevista en este artículo.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6°. </w:t>
      </w:r>
      <w:r w:rsidRPr="006F6B75">
        <w:rPr>
          <w:rFonts w:ascii="Times New Roman" w:eastAsia="Times New Roman" w:hAnsi="Times New Roman" w:cs="Times New Roman"/>
          <w:sz w:val="24"/>
          <w:szCs w:val="24"/>
          <w:lang w:eastAsia="es-CO"/>
        </w:rPr>
        <w:t>Facúltese a los entes territoriales y a las corporaciones autónomas regionales para realizar conciliaciones en procesos contenciosos administrativos en materia tributaria de acuerdo con su competencia.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7°. </w:t>
      </w:r>
      <w:r w:rsidRPr="006F6B75">
        <w:rPr>
          <w:rFonts w:ascii="Times New Roman" w:eastAsia="Times New Roman" w:hAnsi="Times New Roman" w:cs="Times New Roman"/>
          <w:sz w:val="24"/>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8°. </w:t>
      </w:r>
      <w:r w:rsidRPr="006F6B75">
        <w:rPr>
          <w:rFonts w:ascii="Times New Roman" w:eastAsia="Times New Roman" w:hAnsi="Times New Roman" w:cs="Times New Roman"/>
          <w:sz w:val="24"/>
          <w:szCs w:val="24"/>
          <w:lang w:eastAsia="es-CO"/>
        </w:rPr>
        <w:t>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101.</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Terminación por mutuo acuerdo de los procesos administrativos tributarios, aduaneros y cambiarios. </w:t>
      </w:r>
      <w:r w:rsidRPr="006F6B75">
        <w:rPr>
          <w:rFonts w:ascii="Times New Roman" w:eastAsia="Times New Roman" w:hAnsi="Times New Roman" w:cs="Times New Roman"/>
          <w:sz w:val="24"/>
          <w:szCs w:val="24"/>
          <w:lang w:eastAsia="es-CO"/>
        </w:rPr>
        <w:t>Facúltese a la Dirección de Impuestos y Aduanas Nacionales (DIAN) para terminar por mutuo acuerdo los procesos administrativos, en materia tributaria, aduanera y cambiaria, de acuerdo con los siguientes términos y condiciones: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(DIAN), hasta el 31 de octubre de 2019, quien tendrá hasta el 17 de diciembre de 2019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 las resoluciones que imponen sanción por no declarar, y las resoluciones que fallan los respectivos recursos, la Dirección de Impuestos y Aduanas Nacionales (DIAN)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2018, siempre que hubiere lugar al pago de la liquidación privada de los impuestos y retenciones correspondientes al período materia de discusión.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acta que aprueba la terminación por mutuo acuerdo pone fin a la actuación administrativa tributaria, aduanera o cambiaria, adelantada por la Dirección de Impuestos y Aduanas Nacionales (DIAN),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terminación por mutuo acuerdo que pone fin a la actuación administrativa tributaria, aduanera o cambiaría, prestará mérito ejecutivo de conformidad con lo señalado en los artículos </w:t>
      </w:r>
      <w:hyperlink r:id="rId271" w:tooltip="Estatuto Tributario CETA" w:history="1">
        <w:r w:rsidRPr="006F6B75">
          <w:rPr>
            <w:rFonts w:ascii="Times New Roman" w:eastAsia="Times New Roman" w:hAnsi="Times New Roman" w:cs="Times New Roman"/>
            <w:sz w:val="24"/>
            <w:szCs w:val="24"/>
            <w:lang w:eastAsia="es-CO"/>
          </w:rPr>
          <w:t>828</w:t>
        </w:r>
      </w:hyperlink>
      <w:r w:rsidRPr="006F6B75">
        <w:rPr>
          <w:rFonts w:ascii="Times New Roman" w:eastAsia="Times New Roman" w:hAnsi="Times New Roman" w:cs="Times New Roman"/>
          <w:sz w:val="24"/>
          <w:szCs w:val="24"/>
          <w:lang w:eastAsia="es-CO"/>
        </w:rPr>
        <w:t> y </w:t>
      </w:r>
      <w:hyperlink r:id="rId272" w:tooltip="Estatuto Tributario CETA" w:history="1">
        <w:r w:rsidRPr="006F6B75">
          <w:rPr>
            <w:rFonts w:ascii="Times New Roman" w:eastAsia="Times New Roman" w:hAnsi="Times New Roman" w:cs="Times New Roman"/>
            <w:sz w:val="24"/>
            <w:szCs w:val="24"/>
            <w:lang w:eastAsia="es-CO"/>
          </w:rPr>
          <w:t>829</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términos de corrección previstos en los artículos </w:t>
      </w:r>
      <w:hyperlink r:id="rId273" w:tooltip="Estatuto Tributario CETA" w:history="1">
        <w:r w:rsidRPr="006F6B75">
          <w:rPr>
            <w:rFonts w:ascii="Times New Roman" w:eastAsia="Times New Roman" w:hAnsi="Times New Roman" w:cs="Times New Roman"/>
            <w:sz w:val="24"/>
            <w:szCs w:val="24"/>
            <w:lang w:eastAsia="es-CO"/>
          </w:rPr>
          <w:t>588</w:t>
        </w:r>
      </w:hyperlink>
      <w:r w:rsidRPr="006F6B75">
        <w:rPr>
          <w:rFonts w:ascii="Times New Roman" w:eastAsia="Times New Roman" w:hAnsi="Times New Roman" w:cs="Times New Roman"/>
          <w:sz w:val="24"/>
          <w:szCs w:val="24"/>
          <w:lang w:eastAsia="es-CO"/>
        </w:rPr>
        <w:t>, </w:t>
      </w:r>
      <w:hyperlink r:id="rId274" w:tooltip="Estatuto Tributario CETA" w:history="1">
        <w:r w:rsidRPr="006F6B75">
          <w:rPr>
            <w:rFonts w:ascii="Times New Roman" w:eastAsia="Times New Roman" w:hAnsi="Times New Roman" w:cs="Times New Roman"/>
            <w:sz w:val="24"/>
            <w:szCs w:val="24"/>
            <w:lang w:eastAsia="es-CO"/>
          </w:rPr>
          <w:t>709</w:t>
        </w:r>
      </w:hyperlink>
      <w:r w:rsidRPr="006F6B75">
        <w:rPr>
          <w:rFonts w:ascii="Times New Roman" w:eastAsia="Times New Roman" w:hAnsi="Times New Roman" w:cs="Times New Roman"/>
          <w:sz w:val="24"/>
          <w:szCs w:val="24"/>
          <w:lang w:eastAsia="es-CO"/>
        </w:rPr>
        <w:t> y </w:t>
      </w:r>
      <w:hyperlink r:id="rId275" w:tooltip="Estatuto Tributario CETA" w:history="1">
        <w:r w:rsidRPr="006F6B75">
          <w:rPr>
            <w:rFonts w:ascii="Times New Roman" w:eastAsia="Times New Roman" w:hAnsi="Times New Roman" w:cs="Times New Roman"/>
            <w:sz w:val="24"/>
            <w:szCs w:val="24"/>
            <w:lang w:eastAsia="es-CO"/>
          </w:rPr>
          <w:t>713</w:t>
        </w:r>
      </w:hyperlink>
      <w:r w:rsidRPr="006F6B75">
        <w:rPr>
          <w:rFonts w:ascii="Times New Roman" w:eastAsia="Times New Roman" w:hAnsi="Times New Roman" w:cs="Times New Roman"/>
          <w:sz w:val="24"/>
          <w:szCs w:val="24"/>
          <w:lang w:eastAsia="es-CO"/>
        </w:rPr>
        <w:t> del Estatuto Tributario, se extenderán temporalmente con el fin de permitir la adecuada aplicación de esta disposición.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 </w:t>
      </w:r>
      <w:r w:rsidRPr="006F6B75">
        <w:rPr>
          <w:rFonts w:ascii="Times New Roman" w:eastAsia="Times New Roman" w:hAnsi="Times New Roman" w:cs="Times New Roman"/>
          <w:sz w:val="24"/>
          <w:szCs w:val="24"/>
          <w:lang w:eastAsia="es-CO"/>
        </w:rPr>
        <w:t>La terminación por mutuo acuerdo podrá ser solicitada por aquellos que tengan la calidad de deudores solidarios o garantes del obligado.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No podrán acceder a los beneficios de que trata el presente artículo los deudores que hayan suscrito acuerdos de pago con fundamento en el artículo 7° de la Ley 1066 de 2006, el artículo 1º de la Ley 1175 de 2007, el artículo 48 de la Ley 1430 de 2010, los artículos 147, 148 y 149 de la Ley 1607 de 2012, los artículos 55, 56 y 57 de la Ley 1739 de 2014, y los artículos 305 y 306 de la Ley 1819 de 2016, que a la entrada en vigencia de la presente ley se encuentren en mora por las obligaciones contenidas en los mismos.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 </w:t>
      </w:r>
      <w:r w:rsidRPr="006F6B75">
        <w:rPr>
          <w:rFonts w:ascii="Times New Roman" w:eastAsia="Times New Roman" w:hAnsi="Times New Roman" w:cs="Times New Roman"/>
          <w:sz w:val="24"/>
          <w:szCs w:val="24"/>
          <w:lang w:eastAsia="es-CO"/>
        </w:rPr>
        <w:t>En materia aduanera, la transacción prevista en este artículo no aplicará en relación con los actos de definición de la situación jurídica de las mercancías.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 </w:t>
      </w:r>
      <w:r w:rsidRPr="006F6B75">
        <w:rPr>
          <w:rFonts w:ascii="Times New Roman" w:eastAsia="Times New Roman" w:hAnsi="Times New Roman" w:cs="Times New Roman"/>
          <w:sz w:val="24"/>
          <w:szCs w:val="24"/>
          <w:lang w:eastAsia="es-CO"/>
        </w:rPr>
        <w:t>Facúltese a los entes territoriales y a las corporaciones autónomas regionales para realizar las terminaciones por mutuo acuerdo de los procesos administrativos tributarios, de acuerdo con su competencia.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En los casos en los que el contribuyente pague valores adicionales a los que disponen en la presente norma, se considerará un pago de lo debido y no habrá lugar a devoluciones.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6°. </w:t>
      </w:r>
      <w:r w:rsidRPr="006F6B75">
        <w:rPr>
          <w:rFonts w:ascii="Times New Roman" w:eastAsia="Times New Roman" w:hAnsi="Times New Roman" w:cs="Times New Roman"/>
          <w:sz w:val="24"/>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7°. </w:t>
      </w:r>
      <w:r w:rsidRPr="006F6B75">
        <w:rPr>
          <w:rFonts w:ascii="Times New Roman" w:eastAsia="Times New Roman" w:hAnsi="Times New Roman" w:cs="Times New Roman"/>
          <w:sz w:val="24"/>
          <w:szCs w:val="24"/>
          <w:lang w:eastAsia="es-CO"/>
        </w:rPr>
        <w:t xml:space="preserve">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w:t>
      </w:r>
      <w:r w:rsidRPr="006F6B75">
        <w:rPr>
          <w:rFonts w:ascii="Times New Roman" w:eastAsia="Times New Roman" w:hAnsi="Times New Roman" w:cs="Times New Roman"/>
          <w:sz w:val="24"/>
          <w:szCs w:val="24"/>
          <w:lang w:eastAsia="es-CO"/>
        </w:rPr>
        <w:lastRenderedPageBreak/>
        <w:t>mutuo acuerdo y que, a más tardar, el 31 de octubre de 2019,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8°. </w:t>
      </w:r>
      <w:r w:rsidRPr="006F6B75">
        <w:rPr>
          <w:rFonts w:ascii="Times New Roman" w:eastAsia="Times New Roman" w:hAnsi="Times New Roman" w:cs="Times New Roman"/>
          <w:sz w:val="24"/>
          <w:szCs w:val="24"/>
          <w:lang w:eastAsia="es-CO"/>
        </w:rPr>
        <w:t>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31 de octubre de 2019 se acredite los requisitos señalados en este artículo y se presente la solicitud de retiro de la demanda ante el juez competente, en los términos establecidos en el artículo 174 de la Ley 1437 de 2011.</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9°. </w:t>
      </w:r>
      <w:r w:rsidRPr="006F6B75">
        <w:rPr>
          <w:rFonts w:ascii="Times New Roman" w:eastAsia="Times New Roman" w:hAnsi="Times New Roman" w:cs="Times New Roman"/>
          <w:sz w:val="24"/>
          <w:szCs w:val="24"/>
          <w:lang w:eastAsia="es-CO"/>
        </w:rPr>
        <w:t>La reducción de intereses y sanciones tributarias a que hace referencia este artículo, podrá aplicarse únicamente respecto de los pagos realizados desde la fecha de publicación de esta ley.</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10. </w:t>
      </w:r>
      <w:r w:rsidRPr="006F6B75">
        <w:rPr>
          <w:rFonts w:ascii="Times New Roman" w:eastAsia="Times New Roman" w:hAnsi="Times New Roman" w:cs="Times New Roman"/>
          <w:sz w:val="24"/>
          <w:szCs w:val="24"/>
          <w:lang w:eastAsia="es-CO"/>
        </w:rPr>
        <w:t>El acto susceptible de ser transado será el último notificado a la fecha de presentación de la solicitud de terminación por mutuo acuerdo.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11. </w:t>
      </w:r>
      <w:r w:rsidRPr="006F6B75">
        <w:rPr>
          <w:rFonts w:ascii="Times New Roman" w:eastAsia="Times New Roman" w:hAnsi="Times New Roman" w:cs="Times New Roman"/>
          <w:sz w:val="24"/>
          <w:szCs w:val="24"/>
          <w:lang w:eastAsia="es-CO"/>
        </w:rPr>
        <w:t>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102.</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Principio de favorabilidad en etapa de cobro</w:t>
      </w:r>
      <w:r w:rsidRPr="006F6B75">
        <w:rPr>
          <w:rFonts w:ascii="Times New Roman" w:eastAsia="Times New Roman" w:hAnsi="Times New Roman" w:cs="Times New Roman"/>
          <w:sz w:val="24"/>
          <w:szCs w:val="24"/>
          <w:lang w:eastAsia="es-CO"/>
        </w:rPr>
        <w:t>. Facúltese a la Dirección de Impuestos y Aduanas Nacionales (DIAN) para aplicar el principio de favorabilidad de que trata el parágrafo 5° del </w:t>
      </w:r>
      <w:hyperlink r:id="rId276" w:tooltip="Estatuto Tributario CETA" w:history="1">
        <w:r w:rsidRPr="006F6B75">
          <w:rPr>
            <w:rFonts w:ascii="Times New Roman" w:eastAsia="Times New Roman" w:hAnsi="Times New Roman" w:cs="Times New Roman"/>
            <w:sz w:val="24"/>
            <w:szCs w:val="24"/>
            <w:lang w:eastAsia="es-CO"/>
          </w:rPr>
          <w:t>artículo 640</w:t>
        </w:r>
      </w:hyperlink>
      <w:r w:rsidRPr="006F6B75">
        <w:rPr>
          <w:rFonts w:ascii="Times New Roman" w:eastAsia="Times New Roman" w:hAnsi="Times New Roman" w:cs="Times New Roman"/>
          <w:sz w:val="24"/>
          <w:szCs w:val="24"/>
          <w:lang w:eastAsia="es-CO"/>
        </w:rPr>
        <w:t> del Estatuto Tributario dentro del proceso de cobro a solicitud del contribuyente, responsable, declarante, agente retenedor, deudor solidario, deudor subsidiario o garante, de acuerdo con los siguientes términos y condiciones: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contribuyente, declarante, agente retenedor, responsable, deudor solidario, deudor subsidiario o garante que, a la entrada en vigencia de la presente ley, tenga obligaciones fiscales a cargo, que presten mérito ejecutivo conforme lo establece el </w:t>
      </w:r>
      <w:hyperlink r:id="rId277" w:tooltip="Estatuto Tributario CETA" w:history="1">
        <w:r w:rsidRPr="006F6B75">
          <w:rPr>
            <w:rFonts w:ascii="Times New Roman" w:eastAsia="Times New Roman" w:hAnsi="Times New Roman" w:cs="Times New Roman"/>
            <w:sz w:val="24"/>
            <w:szCs w:val="24"/>
            <w:lang w:eastAsia="es-CO"/>
          </w:rPr>
          <w:t>artículo 828</w:t>
        </w:r>
      </w:hyperlink>
      <w:r w:rsidRPr="006F6B75">
        <w:rPr>
          <w:rFonts w:ascii="Times New Roman" w:eastAsia="Times New Roman" w:hAnsi="Times New Roman" w:cs="Times New Roman"/>
          <w:sz w:val="24"/>
          <w:szCs w:val="24"/>
          <w:lang w:eastAsia="es-CO"/>
        </w:rPr>
        <w:t> del Estatuto Tributario, podrá solicitar ante el área de cobro respectiva de la Dirección de Impuestos y Aduanas Nacionales (DIAN), la aplicación del principio de favorabilidad en materia sancionatoria.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La reducción de sanciones de que trata esta disposición aplicará respecto de todas las sanciones tributarias que fueron reducidas mediante la Ley 1819 de 2016.</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estar actualizada de conformidad con lo establecido en el </w:t>
      </w:r>
      <w:hyperlink r:id="rId278" w:tooltip="Estatuto Tributario CETA" w:history="1">
        <w:r w:rsidRPr="006F6B75">
          <w:rPr>
            <w:rFonts w:ascii="Times New Roman" w:eastAsia="Times New Roman" w:hAnsi="Times New Roman" w:cs="Times New Roman"/>
            <w:sz w:val="24"/>
            <w:szCs w:val="24"/>
            <w:lang w:eastAsia="es-CO"/>
          </w:rPr>
          <w:t>artículo 867-1</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solicitud de aplicación del principio de favorabilidad en etapa de cobro deberá ser realizada a más tardar el 28 de junio de 2019.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reducción de sanciones tributarias en virtud del principio de favorabilidad a que hace referencia este artículo, podrá aplicarse únicamente respecto de los pagos realizados desde la fecha de publicación de esta ley.</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 </w:t>
      </w:r>
      <w:r w:rsidRPr="006F6B75">
        <w:rPr>
          <w:rFonts w:ascii="Times New Roman" w:eastAsia="Times New Roman" w:hAnsi="Times New Roman" w:cs="Times New Roman"/>
          <w:sz w:val="24"/>
          <w:szCs w:val="24"/>
          <w:lang w:eastAsia="es-CO"/>
        </w:rPr>
        <w:t>Facúltese a los entes territoriales para aplicar el principio de favorabilidad en etapa de cobro de conformidad con lo previsto en este artículo, de acuerdo con su competencia.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103.</w:t>
      </w:r>
      <w:r w:rsidRPr="006F6B75">
        <w:rPr>
          <w:rFonts w:ascii="Times New Roman" w:eastAsia="Times New Roman" w:hAnsi="Times New Roman" w:cs="Times New Roman"/>
          <w:sz w:val="24"/>
          <w:szCs w:val="24"/>
          <w:lang w:eastAsia="es-CO"/>
        </w:rPr>
        <w:t> Modifíquense el numeral 3, el numeral 4, el parágrafo 1° y adiciónese un parágrafo 4° al artículo 179 de la Ley 1607 de 2012, modificado por el artículo 314 de la Ley 1819 de 2016, los cuales quedan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3. Los aportantes y en general todas las personas naturales y jurídicas, sean estas entidades públicas o privadas, a los que la Unidad de Gestión Pensional y Parafiscales (UGPP) en desarrollo de su función relacionada con el control a la evasión de las contribuciones parafiscales del Sistema de la Protección Social, les solicite información y esta, no sea </w:t>
      </w:r>
      <w:r w:rsidRPr="006F6B75">
        <w:rPr>
          <w:rFonts w:ascii="Times New Roman" w:eastAsia="Times New Roman" w:hAnsi="Times New Roman" w:cs="Times New Roman"/>
          <w:sz w:val="24"/>
          <w:szCs w:val="24"/>
          <w:lang w:eastAsia="es-CO"/>
        </w:rPr>
        <w:lastRenderedPageBreak/>
        <w:t>suministrada o se suministre en forma extemporánea, y/o incompleta y/o inexacta, se harán acreedores a una sanción hasta de 15.000 UVT, a favor del Tesoro Nacional, que se liquidará de acuerdo con el número de meses o fracción de mes de incumplimiento así:</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5890"/>
        <w:gridCol w:w="3211"/>
      </w:tblGrid>
      <w:tr w:rsidR="006F6B75" w:rsidRPr="006F6B75" w:rsidTr="007E57D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NÚMERO DE MESES O FRACCIÓN DE MES EN MORA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NÚMERO DE UVT A PAGAR</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Hasta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30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Hasta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90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Hasta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240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Hasta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450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Hasta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750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Hasta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i/>
                <w:iCs/>
                <w:sz w:val="24"/>
                <w:szCs w:val="24"/>
                <w:lang w:eastAsia="es-CO"/>
              </w:rPr>
              <w:t>1200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Hasta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1950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Hasta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3150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Hasta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4800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Hasta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7200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Hasta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10500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partir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15000</w:t>
            </w:r>
          </w:p>
        </w:tc>
      </w:tr>
    </w:tbl>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sanción a que se refiere el presente artículo se reducirá en el porcentaje que se señala a continuación y según los ingresos brutos del obligado, así:</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2355"/>
        <w:gridCol w:w="1928"/>
        <w:gridCol w:w="2728"/>
        <w:gridCol w:w="2090"/>
      </w:tblGrid>
      <w:tr w:rsidR="006F6B75" w:rsidRPr="006F6B75" w:rsidTr="007E57DD">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Entrega de la información completa y con la calidad requerida</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Porcentaje de reducción de la sanción.</w:t>
            </w:r>
          </w:p>
        </w:tc>
      </w:tr>
      <w:tr w:rsidR="006F6B75" w:rsidRPr="006F6B75" w:rsidTr="007E57D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Obligados con ingresos brutos hasta 10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Obligados con ingresos brutos superiores a 100 mil UVT e inferiores o iguales a 300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Obligados con ingresos brutos superiores a 300 mil UVT</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ENTRE EL MES 1 Y HASTA EL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ENTRE EL MES 4 Y HASTA EL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60%</w:t>
            </w:r>
          </w:p>
        </w:tc>
      </w:tr>
      <w:tr w:rsidR="006F6B75" w:rsidRPr="006F6B75" w:rsidTr="007E57D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ENTRE EL MES 9 Y HASTA EL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50%</w:t>
            </w:r>
          </w:p>
        </w:tc>
      </w:tr>
    </w:tbl>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Es decir que la sanción se reducirá en el 90% para los obligados que registren ingresos brutos hasta de 100.000 UVT, en el 80% para los obligados que registren ingresos brutos mayores a 100.000 UVT y menores o iguales a 300.000 UVT y, en el 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Esta reducción será procedente, siempre y cuando el obligado entregue la información a satisfacción y efectué, en el mismo mes en que se entregue la información, o a más tardar dentro del mes calendario siguiente, el pago del valor de la sanción reducida, de acuerdo a lo establecido en los incisos anteriores. No realizar el pago dentro del término anteriormente señalado, dará lugar a la imposición de la respectiva sanción sin reducción.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ingresos brutos serán los registrados en la última declaración del Impuesto sobre la Renta presentada por el obligado o los ingresos brutos que determine la UGPP cuando no exista declaración, con información suministrada, especialmente, por la DIAN.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Una vez entregada la información de acuerdo con los términos exigidos por la entidad, y acreditado el respectivo pago ante la UGPP, esta verificará el cumplimiento de los requisitos para determinar la procedencia o no de la reducción de la sanción, de acuerdo con el procedimiento que para tal efecto establezca la Unidad.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4. Las administradoras del Sistema de la Protección Social que incumplan los estándares que la Unidad de Gestión Pensional y Parafiscales (UGPP) establezca para el cobro de las Contribuciones Parafiscales de la Protección Social, serán sancionadas hasta por doscientas (200)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sanciones mensuales a que se refiere el inciso anterior, se determinaran en un solo proceso sancionatorio por los incumplimientos ocurridos en la respectiva vigencia fiscal.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todo caso, el tope máximo de la sanción aplicable en la respectiva vigencia fiscal, será de hasta dos mil cuatrocientas (2400) UVT.</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 Se faculta a la Unidad de Gestión Pensional y Parafiscales (UGPP) para imponer sanción equivalente a 15.000 UVT, a las asociaciones o agremiaciones y demás personas naturales o jurídicas, que realicen afiliaciones colectivas de trabajadores independientes sin estar autorizadas por las autoridades competentes, previo pliego de cargos, para cuya respuesta se otorgará un mes contado a partir de su notificación; vencido el termino señalado para la respuesta, la Unidad de Gestión Pensional y Parafiscales (UGPP) proferirá resolución sanción dentro de los 3 meses siguientes si hay lugar a ello, contra la cual procederá únicamente el recurso de reposición consagrado en el artículo 74 del Código de Procedimiento Administrativo y de lo Contencioso Administrativo.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De la sanción impuesta se dará aviso a la autoridad de vigilancia según su naturaleza con el fin de que se ordene la cancelación del registro y/o cierre del establecimiento, sin perjuicio de las acciones penales a que haya lugar por parte de las autoridades competentes.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 </w:t>
      </w:r>
      <w:r w:rsidRPr="006F6B75">
        <w:rPr>
          <w:rFonts w:ascii="Times New Roman" w:eastAsia="Times New Roman" w:hAnsi="Times New Roman" w:cs="Times New Roman"/>
          <w:sz w:val="24"/>
          <w:szCs w:val="24"/>
          <w:lang w:eastAsia="es-CO"/>
        </w:rPr>
        <w:t xml:space="preserve">Las sanciones por omisión, inexactitud y mora de que trata el presente artículo, se impondrán sin perjuicio del cobro de los respectivos intereses moratorias y/o cálculo </w:t>
      </w:r>
      <w:r w:rsidRPr="006F6B75">
        <w:rPr>
          <w:rFonts w:ascii="Times New Roman" w:eastAsia="Times New Roman" w:hAnsi="Times New Roman" w:cs="Times New Roman"/>
          <w:sz w:val="24"/>
          <w:szCs w:val="24"/>
          <w:lang w:eastAsia="es-CO"/>
        </w:rPr>
        <w:lastRenderedPageBreak/>
        <w:t>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104.</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Sistema específico de carrera administrativa</w:t>
      </w:r>
      <w:r w:rsidRPr="006F6B75">
        <w:rPr>
          <w:rFonts w:ascii="Times New Roman" w:eastAsia="Times New Roman" w:hAnsi="Times New Roman" w:cs="Times New Roman"/>
          <w:sz w:val="24"/>
          <w:szCs w:val="24"/>
          <w:lang w:eastAsia="es-CO"/>
        </w:rPr>
        <w:t>. 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Presidente de la República, por el término de seis (6) meses contados a partir de la fecha de promulgación de la presente ley de facultades extraordinarias, para expedir decretos con fuerza de ley 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105. </w:t>
      </w:r>
      <w:r w:rsidRPr="006F6B75">
        <w:rPr>
          <w:rFonts w:ascii="Times New Roman" w:eastAsia="Times New Roman" w:hAnsi="Times New Roman" w:cs="Times New Roman"/>
          <w:sz w:val="24"/>
          <w:szCs w:val="24"/>
          <w:lang w:eastAsia="es-CO"/>
        </w:rPr>
        <w:t>Adiciónese el artículo 689-2 al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689-2. </w:t>
      </w:r>
      <w:r w:rsidRPr="006F6B75">
        <w:rPr>
          <w:rFonts w:ascii="Times New Roman" w:eastAsia="Times New Roman" w:hAnsi="Times New Roman" w:cs="Times New Roman"/>
          <w:b/>
          <w:bCs/>
          <w:i/>
          <w:iCs/>
          <w:sz w:val="24"/>
          <w:szCs w:val="24"/>
          <w:lang w:eastAsia="es-CO"/>
        </w:rPr>
        <w:t>Beneficio de la auditoría</w:t>
      </w:r>
      <w:r w:rsidRPr="006F6B75">
        <w:rPr>
          <w:rFonts w:ascii="Times New Roman" w:eastAsia="Times New Roman" w:hAnsi="Times New Roman" w:cs="Times New Roman"/>
          <w:sz w:val="24"/>
          <w:szCs w:val="24"/>
          <w:lang w:eastAsia="es-CO"/>
        </w:rPr>
        <w:t>. Para los períodos gravables 2019 a 2020,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Esta norma no es aplicable a los contribuyentes que gocen de beneficios tributarios en razón a su ubicación en una zona geográfica determinada.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los períodos de que trata el presente artículo.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En el caso de los contribuyentes que en los años anteriores al período en que pretende acogerse al beneficio de auditoría, no hubieren presentado declaración de renta y complementarios, y cumplan con dicha obligación dentro de los plazos que señale el Gobierno Nacional para presentar las declaraciones correspondientes a los períodos gravables 2019 a 2020, les serán aplicables los términos de firmeza de la liquidación prevista en este artículo, para lo cual deberán incrementar el impuesto neto de renta a cargo por dichos períodos en los porcentajes de que trata el presente artículo.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Cuando se demuestre que las retenciones en la fuente declaradas son inexistentes, no procederá el beneficio de auditoría.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 </w:t>
      </w:r>
      <w:r w:rsidRPr="006F6B75">
        <w:rPr>
          <w:rFonts w:ascii="Times New Roman" w:eastAsia="Times New Roman" w:hAnsi="Times New Roman" w:cs="Times New Roman"/>
          <w:sz w:val="24"/>
          <w:szCs w:val="24"/>
          <w:lang w:eastAsia="es-CO"/>
        </w:rPr>
        <w:t>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Cuando el impuesto neto sobre la renta de la declaración correspondiente al año gravable frente al cual debe cumplirse el requisito del incremento, sea inferior a 71 UVT, no procederá la aplicación del beneficio de auditoría.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3°. </w:t>
      </w:r>
      <w:r w:rsidRPr="006F6B75">
        <w:rPr>
          <w:rFonts w:ascii="Times New Roman" w:eastAsia="Times New Roman" w:hAnsi="Times New Roman" w:cs="Times New Roman"/>
          <w:sz w:val="24"/>
          <w:szCs w:val="24"/>
          <w:lang w:eastAsia="es-CO"/>
        </w:rPr>
        <w:t>Cuando se trate de declaraciones que registren saldo a favor, el término para solicitar la devolución y/o compensación será el previsto en este artículo, para la firmeza de la declaración.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 </w:t>
      </w:r>
      <w:r w:rsidRPr="006F6B75">
        <w:rPr>
          <w:rFonts w:ascii="Times New Roman" w:eastAsia="Times New Roman" w:hAnsi="Times New Roman" w:cs="Times New Roman"/>
          <w:sz w:val="24"/>
          <w:szCs w:val="24"/>
          <w:lang w:eastAsia="es-CO"/>
        </w:rPr>
        <w:t>Los términos de firmeza previstos en el presente artículo no serán aplicables en relación con las declaraciones privadas del impuesto sobre las ventas y de retención en la fuente por los períodos comprendidos en los años 2019 y 2020, las cuales se regirán en esta materia por lo previsto en los artículos </w:t>
      </w:r>
      <w:hyperlink r:id="rId279" w:tooltip="Estatuto Tributario CETA" w:history="1">
        <w:r w:rsidRPr="006F6B75">
          <w:rPr>
            <w:rFonts w:ascii="Times New Roman" w:eastAsia="Times New Roman" w:hAnsi="Times New Roman" w:cs="Times New Roman"/>
            <w:sz w:val="24"/>
            <w:szCs w:val="24"/>
            <w:lang w:eastAsia="es-CO"/>
          </w:rPr>
          <w:t>705</w:t>
        </w:r>
      </w:hyperlink>
      <w:r w:rsidRPr="006F6B75">
        <w:rPr>
          <w:rFonts w:ascii="Times New Roman" w:eastAsia="Times New Roman" w:hAnsi="Times New Roman" w:cs="Times New Roman"/>
          <w:sz w:val="24"/>
          <w:szCs w:val="24"/>
          <w:lang w:eastAsia="es-CO"/>
        </w:rPr>
        <w:t> y </w:t>
      </w:r>
      <w:hyperlink r:id="rId280" w:tooltip="Estatuto Tributario CETA" w:history="1">
        <w:r w:rsidRPr="006F6B75">
          <w:rPr>
            <w:rFonts w:ascii="Times New Roman" w:eastAsia="Times New Roman" w:hAnsi="Times New Roman" w:cs="Times New Roman"/>
            <w:sz w:val="24"/>
            <w:szCs w:val="24"/>
            <w:lang w:eastAsia="es-CO"/>
          </w:rPr>
          <w:t>714</w:t>
        </w:r>
      </w:hyperlink>
      <w:r w:rsidRPr="006F6B75">
        <w:rPr>
          <w:rFonts w:ascii="Times New Roman" w:eastAsia="Times New Roman" w:hAnsi="Times New Roman" w:cs="Times New Roman"/>
          <w:sz w:val="24"/>
          <w:szCs w:val="24"/>
          <w:lang w:eastAsia="es-CO"/>
        </w:rPr>
        <w:t> del Estatuto Tributario.</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TÍTULO VII</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DISPOSICIONES FINALES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106. </w:t>
      </w:r>
      <w:r w:rsidRPr="006F6B75">
        <w:rPr>
          <w:rFonts w:ascii="Times New Roman" w:eastAsia="Times New Roman" w:hAnsi="Times New Roman" w:cs="Times New Roman"/>
          <w:i/>
          <w:iCs/>
          <w:sz w:val="24"/>
          <w:szCs w:val="24"/>
          <w:lang w:eastAsia="es-CO"/>
        </w:rPr>
        <w:t>Comisión de Estudio del Sistema Tributario Territorial</w:t>
      </w:r>
      <w:r w:rsidRPr="006F6B75">
        <w:rPr>
          <w:rFonts w:ascii="Times New Roman" w:eastAsia="Times New Roman" w:hAnsi="Times New Roman" w:cs="Times New Roman"/>
          <w:sz w:val="24"/>
          <w:szCs w:val="24"/>
          <w:lang w:eastAsia="es-CO"/>
        </w:rPr>
        <w:t xml:space="preserve">. Créase una Comisión de Expertos ad honórem para estudiar el régimen aplicable a los impuestos, tasas y contribuciones de carácter departamental, distrital y municipal, con el objeto de proponer una reforma orientada a hacer el sistema tributario territorial más eficiente, reactivar la economía de las regiones, y </w:t>
      </w:r>
      <w:r w:rsidRPr="006F6B75">
        <w:rPr>
          <w:rFonts w:ascii="Times New Roman" w:eastAsia="Times New Roman" w:hAnsi="Times New Roman" w:cs="Times New Roman"/>
          <w:sz w:val="24"/>
          <w:szCs w:val="24"/>
          <w:lang w:eastAsia="es-CO"/>
        </w:rPr>
        <w:lastRenderedPageBreak/>
        <w:t>combatir la evasión y la elusión fiscal. La Comisión de Expertos podrá convocar a expertos de distintas áreas, en calidad de invitados.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Comisión de Expertos se conformará a más tardar, dentro de los cuatro (4) meses siguientes a la entrada en vigencia de la presente ley, la cual será presidida por el Viceministro Técnico del Ministerio de Hacienda y Crédito Público o su delegado y deberá entregar sus propuestas al Ministro de Hacienda y Crédito Público máximo en doce (12) meses contados a partir de su conformación.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Gobierno Nacional determinará la composición y funcionamiento de dicha Comisión, la cual se dictará su propio reglamento. Harán parte de la Comisión, la Federación Nacional de Departamentales, la Asociación Colombiana de Ciudades Capitales y la Federación Colombiana de Municipios.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107.</w:t>
      </w:r>
      <w:r w:rsidRPr="006F6B75">
        <w:rPr>
          <w:rFonts w:ascii="Times New Roman" w:eastAsia="Times New Roman" w:hAnsi="Times New Roman" w:cs="Times New Roman"/>
          <w:sz w:val="24"/>
          <w:szCs w:val="24"/>
          <w:lang w:eastAsia="es-CO"/>
        </w:rPr>
        <w:t> Facúltese a los entes territoriales para conceder beneficios temporales de hasta un setenta por ciento (70%) en el pago de los intereses moratorios que se hayan generado en el no pago de las multas, sanciones y otros conceptos de naturaleza no tributaria.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acceder a lo dispuesto en el presente artículo, el interesado deberá cancelar la totalidad del capital adeudado y el porcentaje restante de los intereses moratorias.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 Las Asambleas Departamentales y los Concejos Municipales y Distritales, serán las entidades competentes para establecer los porcentajes de los beneficios temporales, así como para fijar los requisitos, términos y condiciones que aplicará en su jurisdicción.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 Los beneficios temporales estarán vigentes por un término que no podrá exceder del 31 de octubre de 2019, fecha en la cual debe haberse realizado los pagos correspondientes.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108.</w:t>
      </w:r>
      <w:r w:rsidRPr="006F6B75">
        <w:rPr>
          <w:rFonts w:ascii="Times New Roman" w:eastAsia="Times New Roman" w:hAnsi="Times New Roman" w:cs="Times New Roman"/>
          <w:sz w:val="24"/>
          <w:szCs w:val="24"/>
          <w:lang w:eastAsia="es-CO"/>
        </w:rPr>
        <w:t> Modifíquese el artículo 23 de la Ley 679 de 2001,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23. </w:t>
      </w:r>
      <w:r w:rsidRPr="006F6B75">
        <w:rPr>
          <w:rFonts w:ascii="Times New Roman" w:eastAsia="Times New Roman" w:hAnsi="Times New Roman" w:cs="Times New Roman"/>
          <w:b/>
          <w:bCs/>
          <w:i/>
          <w:iCs/>
          <w:sz w:val="24"/>
          <w:szCs w:val="24"/>
          <w:lang w:eastAsia="es-CO"/>
        </w:rPr>
        <w:t>Impuesto de salida. </w:t>
      </w:r>
      <w:r w:rsidRPr="006F6B75">
        <w:rPr>
          <w:rFonts w:ascii="Times New Roman" w:eastAsia="Times New Roman" w:hAnsi="Times New Roman" w:cs="Times New Roman"/>
          <w:sz w:val="24"/>
          <w:szCs w:val="24"/>
          <w:lang w:eastAsia="es-CO"/>
        </w:rPr>
        <w:t>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Gobierno Nacional reglamentará la materia.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109.</w:t>
      </w:r>
      <w:r w:rsidRPr="006F6B75">
        <w:rPr>
          <w:rFonts w:ascii="Times New Roman" w:eastAsia="Times New Roman" w:hAnsi="Times New Roman" w:cs="Times New Roman"/>
          <w:sz w:val="24"/>
          <w:szCs w:val="24"/>
          <w:lang w:eastAsia="es-CO"/>
        </w:rPr>
        <w:t> Modifíquese el artículo 4 de la Ley 1101 de 2006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“Modificar el artículo 4°. Ley 1101 IMPUESTO CON DESTINO AL TURISMO COMO INVERSIÓN SOCIAL.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partir de la fecha de entrada en vigencia de la presente ley, se crea el impuesto nacional con destino al turismo como inversión social mediante la promoción y el fortalecimiento de la competitividad que comprende la capacitación y la calidad turísticas.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hecho generador del impuesto con destino al turismo es la compra de tiquetes aéreos de pasajeros que tengan como destino final el territorio colombiano, en transporte aéreo de tráfico internacional.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sujeto activo del impuesto con destino al turismo será la nación - Ministerio de Hacienda y Crédito Público. Son contribuyentes del impuesto con destino al turismo, todos los pasajeros que ingresen a Colombia, en medios de transporte aéreo de tráfico internacional. No serán sujetos activos del impuesto los pasajeros que vengan al territorio colombiano en tránsito o en conexión internacional.</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impuesto con destino al turismo tendrá un valor de USD15, deberá ser incluido por las empresas que presten de manera regular el servicio de transporte aéreo internacional de pasajeros con origen o destino a Colombia, en el valor de los tiquetes o pasajes aéreos y su pago se hará trimestralmente.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valor del recaudo del impuesto para el turismo de que trata el artículo 1° de la Ley 1101 de 2006, lo tendrán a su cargo las empresas que presten de manera regular el servicio de transporte aéreo internacional de pasajeros con destino a Colombia y deberá ser consignado por estas en la cuenta que para estos efectos establezca el Ministerio de Comercio, Industria y Turismo y será apropiado en el Presupuesto General de la Nación en las vigencias fiscales correspondientes a su recaudo y en las subsiguientes. La generación del impuesto será la compra y emisión del tiquete, la reglamentación para estos efectos, estará a cargo el Ministerio de Comercio, Industria y Turismo.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110.</w:t>
      </w:r>
      <w:r w:rsidRPr="006F6B75">
        <w:rPr>
          <w:rFonts w:ascii="Times New Roman" w:eastAsia="Times New Roman" w:hAnsi="Times New Roman" w:cs="Times New Roman"/>
          <w:sz w:val="24"/>
          <w:szCs w:val="24"/>
          <w:lang w:eastAsia="es-CO"/>
        </w:rPr>
        <w:t> Con el fin de evaluar la pertinencia, eficacia, eficiencia, prevenir la competencia desleal en la economía colombiana y garantizar el cumplimiento de las finalidades de las zonas francas y los beneficios tributarios otorgados en el sistema tributario colombiano, la Superintendencia de Industria y Comercio, la Dirección de Impuestos y Aduanas Nacionales (DIAN) y la Contraloría General de la República conformarán un equipo conjunto de auditoría para hacer una evaluación de todos los beneficios tributarios, exenciones tributarias, deducciones, otras deducciones de renta y cada una de las personas jurídicas del régimen de zonas francas, para determinar su continuación, modificación y/o eliminación. El resultado de esta auditoria será público y se presentará ante el Ministerio de Comercio, Industria y Turismo, el Ministerio de Hacienda y Crédito Público, y las Comisiones Económicas del Congreso de la República a más tardar en el mes de julio de 2019.</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Para el primer trimestre del año 2020 el Gobierno Nacional presentará un proyecto de ley que grave las utilidades contables, eliminando las rentas exentas y beneficios tributarios especiales, para reemplazar el impuesto de renta.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111. </w:t>
      </w:r>
      <w:r w:rsidRPr="006F6B75">
        <w:rPr>
          <w:rFonts w:ascii="Times New Roman" w:eastAsia="Times New Roman" w:hAnsi="Times New Roman" w:cs="Times New Roman"/>
          <w:i/>
          <w:iCs/>
          <w:sz w:val="24"/>
          <w:szCs w:val="24"/>
          <w:lang w:eastAsia="es-CO"/>
        </w:rPr>
        <w:t>Fondo de Estabilización del Ingreso Fiscal (FEIF)</w:t>
      </w:r>
      <w:r w:rsidRPr="006F6B75">
        <w:rPr>
          <w:rFonts w:ascii="Times New Roman" w:eastAsia="Times New Roman" w:hAnsi="Times New Roman" w:cs="Times New Roman"/>
          <w:sz w:val="24"/>
          <w:szCs w:val="24"/>
          <w:lang w:eastAsia="es-CO"/>
        </w:rPr>
        <w:t xml:space="preserve">. Créase el Fondo de Estabilización del Ingreso Fiscal (FEIF),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w:t>
      </w:r>
      <w:r w:rsidRPr="006F6B75">
        <w:rPr>
          <w:rFonts w:ascii="Times New Roman" w:eastAsia="Times New Roman" w:hAnsi="Times New Roman" w:cs="Times New Roman"/>
          <w:sz w:val="24"/>
          <w:szCs w:val="24"/>
          <w:lang w:eastAsia="es-CO"/>
        </w:rPr>
        <w:lastRenderedPageBreak/>
        <w:t>cubrimiento de tales ingresos fiscales, con entidades extranjeras especializadas en este tipo de operaciones.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Los recursos necesarios para el funcionamiento del FEIF podrán provenir de las siguientes fuentes: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 Los recursos del Presupuesto General de la Nación a favor del Fondo;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b) Los ingresos generados por las coberturas de petróleo requeridos para renovar dichas coberturas;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 Los rendimientos que genere el Fondo;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 Las demás que determine el Gobierno Nacional.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Las decisiones de cobertura deberán ser evaluadas de forma conjunta y en contexto con los ingresos fiscales petroleros, no por el desempeño de una operación individual sino como parte de una estrategia global de estabilidad fiscal y en condiciones de mercado. En algunos períodos determinados por condiciones adversas del mercado, se podrán observar operaciones cuyos resultados sean iguales a cero o negativos por la naturaleza de la cobertura.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Gobierno Nacional reglamentará la administración y funcionamiento del FEIF, así como los demás asuntos necesarios para el cabal cumplimiento de su objeto.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El FEIF no podrá celebrar operaciones de crédito público y sus asimiladas.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112.</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Información del sistema de gestión de riesgos de la Unidad Administrativa Especial Dirección de Impuestos y Aduanas Nacionales</w:t>
      </w:r>
      <w:r w:rsidRPr="006F6B75">
        <w:rPr>
          <w:rFonts w:ascii="Times New Roman" w:eastAsia="Times New Roman" w:hAnsi="Times New Roman" w:cs="Times New Roman"/>
          <w:sz w:val="24"/>
          <w:szCs w:val="24"/>
          <w:lang w:eastAsia="es-CO"/>
        </w:rPr>
        <w:t>. La información y procedimientos que administra el sistema de Gestión de Riesgos de la Dirección de Impuestos y Aduanas Nacionales (DIAN) tienen carácter reservado.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113.</w:t>
      </w:r>
      <w:r w:rsidRPr="006F6B75">
        <w:rPr>
          <w:rFonts w:ascii="Times New Roman" w:eastAsia="Times New Roman" w:hAnsi="Times New Roman" w:cs="Times New Roman"/>
          <w:sz w:val="24"/>
          <w:szCs w:val="24"/>
          <w:lang w:eastAsia="es-CO"/>
        </w:rPr>
        <w:t>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sus actuaciones en la vía gubernativa y en la jurisdiccional con base en la ley.</w:t>
      </w:r>
    </w:p>
    <w:p w:rsidR="00296598" w:rsidRPr="006F6B75" w:rsidRDefault="00296598" w:rsidP="00296598">
      <w:pPr>
        <w:spacing w:after="0" w:line="240" w:lineRule="auto"/>
        <w:jc w:val="both"/>
        <w:rPr>
          <w:rFonts w:ascii="Times New Roman" w:hAnsi="Times New Roman" w:cs="Times New Roman"/>
          <w:b/>
          <w:bCs/>
          <w:sz w:val="24"/>
          <w:szCs w:val="24"/>
          <w:shd w:val="clear" w:color="auto" w:fill="FFFFFF"/>
        </w:rPr>
      </w:pP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114.</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Sostenibilidad fiscal</w:t>
      </w:r>
      <w:r w:rsidRPr="006F6B75">
        <w:rPr>
          <w:rFonts w:ascii="Times New Roman" w:eastAsia="Times New Roman" w:hAnsi="Times New Roman" w:cs="Times New Roman"/>
          <w:sz w:val="24"/>
          <w:szCs w:val="24"/>
          <w:lang w:eastAsia="es-CO"/>
        </w:rPr>
        <w:t>. Con el propósito de garantizar la sostenibilidad fiscal del Estado colombiano asegurando el fortalecimiento continuo de la administración tributaria, aduanera y cambiaría, la restricción en el crecimiento de los gastos de personal a que refiere el artículo 92 de la Ley 617 de 2000 no le aplica a la Dirección de Impuestos y Aduanas Nacionales (DIAN) por el término de cuatro años contados a partir de la vigencia de la presente ley.</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lastRenderedPageBreak/>
        <w:t>En desarrollo del presente artículo el Gobierno Nacional, entre otros, deberá ampliar la planta de personal de la Dirección de Impuestos y Aduanas Nacionales (DIAN), soportado en un estudio técnico presentado a consideración del Gobierno Nacional; y podrá adoptar las decisiones sobre bonificación de localización y las que surjan de la revisión que se deberá efectuar sobre los incentivos al desempeño que son reconocidos a los funcionarios de la Dirección de Impuestos y Aduanas Nacionales (DIAN) como herramienta para el logro de resultados óptimos de la gestión institucional a través de sus servidores públicos.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Para efectos de la provisión de los empleos de la planta de personal de la Unidad Administrativa Especial Dirección de Impuestos y Aduanas Nacionales (DIAN), se requerirá contar con la disponibilidad presupuestal para atender los gastos que se generen a partir de la fecha de la provisión.</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115. </w:t>
      </w:r>
      <w:r w:rsidRPr="006F6B75">
        <w:rPr>
          <w:rFonts w:ascii="Times New Roman" w:eastAsia="Times New Roman" w:hAnsi="Times New Roman" w:cs="Times New Roman"/>
          <w:sz w:val="24"/>
          <w:szCs w:val="24"/>
          <w:lang w:eastAsia="es-CO"/>
        </w:rPr>
        <w:t>La restricción en el crecimiento de los gastos de personal a que se refiere el artículo 92 de la Ley 617 de 2000 no les será aplicable a la Defensoría del Pueblo, a la Fiscalía General de la Nación, a la Jurisdicción Especial para la Paz, a la Contraloría General de la República, a la Procuraduría General de la Nación y a la Auditoría General de la República.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w:t>
      </w:r>
      <w:r w:rsidRPr="006F6B75">
        <w:rPr>
          <w:rFonts w:ascii="Times New Roman" w:eastAsia="Times New Roman" w:hAnsi="Times New Roman" w:cs="Times New Roman"/>
          <w:sz w:val="24"/>
          <w:szCs w:val="24"/>
          <w:lang w:eastAsia="es-CO"/>
        </w:rPr>
        <w:t>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Dirección Especializada Contra los Delitos Fiscales estará conformada por:</w:t>
      </w:r>
    </w:p>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3008"/>
        <w:gridCol w:w="1177"/>
        <w:gridCol w:w="3606"/>
        <w:gridCol w:w="1310"/>
      </w:tblGrid>
      <w:tr w:rsidR="006F6B75" w:rsidRPr="006F6B75" w:rsidTr="007E57D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Unidad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Cantidad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Cargo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Niveles</w:t>
            </w:r>
          </w:p>
        </w:tc>
      </w:tr>
      <w:tr w:rsidR="006F6B75" w:rsidRPr="006F6B75" w:rsidTr="007E57DD">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Dirección Especializada contra los Delitos Fiscales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Director Nacional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Directivo</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Fiscal Delegado ante Jueces Penales del Circuito Especializados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Fiscal Delegado antes Jueces de Circuito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Fiscal Delegado ante Jueces Municipales y Promiscuos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 Experto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 Especializado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 de Gestión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Investigador Experto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 Investigador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 Investigador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 Investigador 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Profesional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Técnico Investigador IV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Técnico</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Técnico Investigador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Técnico</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Asistente de Fiscal IV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Técnico</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Asistente de Fiscal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Técnico</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Asistente de Fiscal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Técnico</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Secretario Ejecutivo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Técnico</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Conductor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Asistencial</w:t>
            </w:r>
          </w:p>
        </w:tc>
      </w:tr>
      <w:tr w:rsidR="006F6B75" w:rsidRPr="006F6B75" w:rsidTr="007E57DD">
        <w:trPr>
          <w:jc w:val="center"/>
        </w:trPr>
        <w:tc>
          <w:tcPr>
            <w:tcW w:w="0" w:type="auto"/>
            <w:vMerge/>
            <w:tcBorders>
              <w:top w:val="nil"/>
              <w:left w:val="single" w:sz="8" w:space="0" w:color="auto"/>
              <w:bottom w:val="single" w:sz="8" w:space="0" w:color="auto"/>
              <w:right w:val="single" w:sz="8" w:space="0" w:color="auto"/>
            </w:tcBorders>
            <w:vAlign w:val="center"/>
            <w:hideMark/>
          </w:tcPr>
          <w:p w:rsidR="00296598" w:rsidRPr="006F6B75" w:rsidRDefault="00296598" w:rsidP="00296598">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Secretario Administrativo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6598" w:rsidRPr="006F6B75" w:rsidRDefault="00296598" w:rsidP="00296598">
            <w:pPr>
              <w:spacing w:after="0" w:line="240" w:lineRule="auto"/>
              <w:jc w:val="center"/>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Asistencial</w:t>
            </w:r>
          </w:p>
        </w:tc>
      </w:tr>
    </w:tbl>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La Dirección Especializada Contra los Delitos Fiscales cumplirá las funciones generales previstas en el Decreto Ley 016 de 2014, modificado por Decreto-ley 898 de 2017 para las Direcciones Especializadas.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Dicha Dirección no entrará en funcionamiento hasta tanto el Gobierno Nacional garantice las apropiaciones presupuestales necesarias para la puesta en funcionamiento de la Dirección Especializada Contra los Delitos Fiscales.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116. </w:t>
      </w:r>
      <w:r w:rsidRPr="006F6B75">
        <w:rPr>
          <w:rFonts w:ascii="Times New Roman" w:eastAsia="Times New Roman" w:hAnsi="Times New Roman" w:cs="Times New Roman"/>
          <w:sz w:val="24"/>
          <w:szCs w:val="24"/>
          <w:lang w:eastAsia="es-CO"/>
        </w:rPr>
        <w:t>Adiciónense al artículo 92 de la Ley 1708 de 2014 los siguientes dos incisos y dos parágrafos: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Venta masiva de bienes: </w:t>
      </w:r>
      <w:r w:rsidRPr="006F6B75">
        <w:rPr>
          <w:rFonts w:ascii="Times New Roman" w:eastAsia="Times New Roman" w:hAnsi="Times New Roman" w:cs="Times New Roman"/>
          <w:sz w:val="24"/>
          <w:szCs w:val="24"/>
          <w:lang w:eastAsia="es-CO"/>
        </w:rPr>
        <w:t>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Precio de venta masiva de bienes: </w:t>
      </w:r>
      <w:r w:rsidRPr="006F6B75">
        <w:rPr>
          <w:rFonts w:ascii="Times New Roman" w:eastAsia="Times New Roman" w:hAnsi="Times New Roman" w:cs="Times New Roman"/>
          <w:sz w:val="24"/>
          <w:szCs w:val="24"/>
          <w:lang w:eastAsia="es-CO"/>
        </w:rPr>
        <w:t>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1°.</w:t>
      </w:r>
      <w:r w:rsidRPr="006F6B75">
        <w:rPr>
          <w:rFonts w:ascii="Times New Roman" w:eastAsia="Times New Roman" w:hAnsi="Times New Roman" w:cs="Times New Roman"/>
          <w:sz w:val="24"/>
          <w:szCs w:val="24"/>
          <w:lang w:eastAsia="es-CO"/>
        </w:rPr>
        <w:t> 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w:t>
      </w:r>
      <w:r w:rsidRPr="006F6B75">
        <w:rPr>
          <w:rFonts w:ascii="Times New Roman" w:eastAsia="Times New Roman" w:hAnsi="Times New Roman" w:cs="Times New Roman"/>
          <w:sz w:val="24"/>
          <w:szCs w:val="24"/>
          <w:lang w:eastAsia="es-CO"/>
        </w:rPr>
        <w:t xml:space="preserve"> En el evento en que los valores correspondientes al cumplimiento de órdenes de devolución superen los montos destinados a la reserva técnica, el administrador del Frisco podrá afectar los recursos del Fondo. Para ello, el administrador podrá solicitar la </w:t>
      </w:r>
      <w:r w:rsidRPr="006F6B75">
        <w:rPr>
          <w:rFonts w:ascii="Times New Roman" w:eastAsia="Times New Roman" w:hAnsi="Times New Roman" w:cs="Times New Roman"/>
          <w:sz w:val="24"/>
          <w:szCs w:val="24"/>
          <w:lang w:eastAsia="es-CO"/>
        </w:rPr>
        <w:lastRenderedPageBreak/>
        <w:t>modificación del presupuesto del Fondo al Consejo Nacional de Estupefacientes en cualquier momento, para lo cual se convocará sesión ordinaria o extraordinaria, según sea el caso.</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117.</w:t>
      </w:r>
      <w:r w:rsidRPr="006F6B75">
        <w:rPr>
          <w:rFonts w:ascii="Times New Roman" w:eastAsia="Times New Roman" w:hAnsi="Times New Roman" w:cs="Times New Roman"/>
          <w:sz w:val="24"/>
          <w:szCs w:val="24"/>
          <w:lang w:eastAsia="es-CO"/>
        </w:rPr>
        <w:t> Adiciónese un parágrafo 4° al artículo 88 de la Ley 1708 de 2014,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4°. </w:t>
      </w:r>
      <w:r w:rsidRPr="006F6B75">
        <w:rPr>
          <w:rFonts w:ascii="Times New Roman" w:eastAsia="Times New Roman" w:hAnsi="Times New Roman" w:cs="Times New Roman"/>
          <w:sz w:val="24"/>
          <w:szCs w:val="24"/>
          <w:lang w:eastAsia="es-CO"/>
        </w:rPr>
        <w:t>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El producto de la disposición de los bienes será administrado conforme a lo previsto en el artículo 93 de la Ley 1708 en lo correspondiente a la constitución de la reserva técnica de los recursos que se generen.</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xml:space="preserve">En todos los eventos que el bien sea </w:t>
      </w:r>
      <w:proofErr w:type="spellStart"/>
      <w:r w:rsidRPr="006F6B75">
        <w:rPr>
          <w:rFonts w:ascii="Times New Roman" w:eastAsia="Times New Roman" w:hAnsi="Times New Roman" w:cs="Times New Roman"/>
          <w:sz w:val="24"/>
          <w:szCs w:val="24"/>
          <w:lang w:eastAsia="es-CO"/>
        </w:rPr>
        <w:t>chatarrizado</w:t>
      </w:r>
      <w:proofErr w:type="spellEnd"/>
      <w:r w:rsidRPr="006F6B75">
        <w:rPr>
          <w:rFonts w:ascii="Times New Roman" w:eastAsia="Times New Roman" w:hAnsi="Times New Roman" w:cs="Times New Roman"/>
          <w:sz w:val="24"/>
          <w:szCs w:val="24"/>
          <w:lang w:eastAsia="es-CO"/>
        </w:rPr>
        <w:t xml:space="preserve"> o destruido, el Frisco deberá informar a quien aparezca como última autoridad 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118.</w:t>
      </w:r>
      <w:r w:rsidRPr="006F6B75">
        <w:rPr>
          <w:rFonts w:ascii="Times New Roman" w:eastAsia="Times New Roman" w:hAnsi="Times New Roman" w:cs="Times New Roman"/>
          <w:sz w:val="24"/>
          <w:szCs w:val="24"/>
          <w:lang w:eastAsia="es-CO"/>
        </w:rPr>
        <w:t> Modifíquese el parágrafo 2º del </w:t>
      </w:r>
      <w:hyperlink r:id="rId281" w:tooltip="Estatuto Tributario CETA" w:history="1">
        <w:r w:rsidRPr="006F6B75">
          <w:rPr>
            <w:rFonts w:ascii="Times New Roman" w:eastAsia="Times New Roman" w:hAnsi="Times New Roman" w:cs="Times New Roman"/>
            <w:sz w:val="24"/>
            <w:szCs w:val="24"/>
            <w:u w:val="single"/>
            <w:lang w:eastAsia="es-CO"/>
          </w:rPr>
          <w:t>artículo 114-1</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2°. </w:t>
      </w:r>
      <w:r w:rsidRPr="006F6B75">
        <w:rPr>
          <w:rFonts w:ascii="Times New Roman" w:eastAsia="Times New Roman" w:hAnsi="Times New Roman" w:cs="Times New Roman"/>
          <w:sz w:val="24"/>
          <w:szCs w:val="24"/>
          <w:lang w:eastAsia="es-CO"/>
        </w:rPr>
        <w:t>Las entidades que deben realizar el proceso de calificación de que trata el inciso segundo del </w:t>
      </w:r>
      <w:hyperlink r:id="rId282" w:tooltip="Estatuto Tributario CETA" w:history="1">
        <w:r w:rsidRPr="006F6B75">
          <w:rPr>
            <w:rFonts w:ascii="Times New Roman" w:eastAsia="Times New Roman" w:hAnsi="Times New Roman" w:cs="Times New Roman"/>
            <w:sz w:val="24"/>
            <w:szCs w:val="24"/>
            <w:u w:val="single"/>
            <w:lang w:eastAsia="es-CO"/>
          </w:rPr>
          <w:t>artículo 19</w:t>
        </w:r>
      </w:hyperlink>
      <w:r w:rsidRPr="006F6B75">
        <w:rPr>
          <w:rFonts w:ascii="Times New Roman" w:eastAsia="Times New Roman" w:hAnsi="Times New Roman" w:cs="Times New Roman"/>
          <w:sz w:val="24"/>
          <w:szCs w:val="24"/>
          <w:lang w:eastAsia="es-CO"/>
        </w:rPr>
        <w:t>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7º de la Ley 21 de 1982, los artículos 2º y 3º de la Ley 27 de 1974 y el artículo 1° de la Ley 89 de 1988, y de acuerdo con los requisitos y condiciones establecidos en las normas aplicables.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119.</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Financiación del monto de los gastos de la vigencia fiscal 2019. </w:t>
      </w:r>
      <w:r w:rsidRPr="006F6B75">
        <w:rPr>
          <w:rFonts w:ascii="Times New Roman" w:eastAsia="Times New Roman" w:hAnsi="Times New Roman" w:cs="Times New Roman"/>
          <w:sz w:val="24"/>
          <w:szCs w:val="24"/>
          <w:lang w:eastAsia="es-CO"/>
        </w:rPr>
        <w:t xml:space="preserve">En cumplimiento de lo establecido en el artículo 347 de la Constitución Política, los recaudos que se efectúen durante la vigencia fiscal comprendida entre el 1° de enero al 31 de diciembre de 2019 con ocasión de la creación de las nuevas rentas o a la modificación de las existentes realizadas </w:t>
      </w:r>
      <w:r w:rsidRPr="006F6B75">
        <w:rPr>
          <w:rFonts w:ascii="Times New Roman" w:eastAsia="Times New Roman" w:hAnsi="Times New Roman" w:cs="Times New Roman"/>
          <w:sz w:val="24"/>
          <w:szCs w:val="24"/>
          <w:lang w:eastAsia="es-CO"/>
        </w:rPr>
        <w:lastRenderedPageBreak/>
        <w:t>mediante la presente ley, se entienden incorporados al presupuesto de rentas y recursos de capital de dicha vigencia, con el objeto de equilibrar el presupuesto de ingresos con el de gastos.</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Con los anteriores recursos el presupuesto de rentas y recursos de capital del Tesoro de la Nación para la vigencia fiscal del 1° de enero al 31 de diciembre de 2019, se fija en la suma de doscientos cincuenta y ocho billones novecientos noventa y siete mil trescientos cinco millones doscientos nueve mil novecientos veintisiete pesos ($258,997,305,209,927) moneda legal.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w:t>
      </w:r>
      <w:r w:rsidRPr="006F6B75">
        <w:rPr>
          <w:rFonts w:ascii="Times New Roman" w:eastAsia="Times New Roman" w:hAnsi="Times New Roman" w:cs="Times New Roman"/>
          <w:sz w:val="24"/>
          <w:szCs w:val="24"/>
          <w:lang w:eastAsia="es-CO"/>
        </w:rPr>
        <w:t> El Gobierno Nacional realizará las incorporaciones y sustituciones en el Presupuesto General de la Nación para la vigencia fiscal 2019 que sean necesarias para adecuar las rentas, los recursos de capital y las apropiaciones presupuestales, de acuerdo con las proyecciones de los ingresos adicionales. En consecuencia, reducirá o aplazará las partidas del Presupuesto General de la Nación para la vigencia fiscal 2019 en la cuantía necesaria para garantizar la meta de déficit estructural del Gobierno Nacional.</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Artículo 120.</w:t>
      </w:r>
      <w:r w:rsidRPr="006F6B75">
        <w:rPr>
          <w:rFonts w:ascii="Times New Roman" w:eastAsia="Times New Roman" w:hAnsi="Times New Roman" w:cs="Times New Roman"/>
          <w:sz w:val="24"/>
          <w:szCs w:val="24"/>
          <w:lang w:eastAsia="es-CO"/>
        </w:rPr>
        <w:t> </w:t>
      </w:r>
      <w:r w:rsidRPr="006F6B75">
        <w:rPr>
          <w:rFonts w:ascii="Times New Roman" w:eastAsia="Times New Roman" w:hAnsi="Times New Roman" w:cs="Times New Roman"/>
          <w:i/>
          <w:iCs/>
          <w:sz w:val="24"/>
          <w:szCs w:val="24"/>
          <w:lang w:eastAsia="es-CO"/>
        </w:rPr>
        <w:t>Reconocimiento fiscal de los pagos en efectivo para los contribuyentes pertenecientes al sector agropecuario</w:t>
      </w:r>
      <w:r w:rsidRPr="006F6B75">
        <w:rPr>
          <w:rFonts w:ascii="Times New Roman" w:eastAsia="Times New Roman" w:hAnsi="Times New Roman" w:cs="Times New Roman"/>
          <w:sz w:val="24"/>
          <w:szCs w:val="24"/>
          <w:lang w:eastAsia="es-CO"/>
        </w:rPr>
        <w:t>. Adiciónese un parágrafo quinto (5°) al </w:t>
      </w:r>
      <w:hyperlink r:id="rId283" w:tooltip="Estatuto Tributario CETA" w:history="1">
        <w:r w:rsidRPr="006F6B75">
          <w:rPr>
            <w:rFonts w:ascii="Times New Roman" w:eastAsia="Times New Roman" w:hAnsi="Times New Roman" w:cs="Times New Roman"/>
            <w:sz w:val="24"/>
            <w:szCs w:val="24"/>
            <w:u w:val="single"/>
            <w:lang w:eastAsia="es-CO"/>
          </w:rPr>
          <w:t>artículo 771-5</w:t>
        </w:r>
      </w:hyperlink>
      <w:r w:rsidRPr="006F6B75">
        <w:rPr>
          <w:rFonts w:ascii="Times New Roman" w:eastAsia="Times New Roman" w:hAnsi="Times New Roman" w:cs="Times New Roman"/>
          <w:sz w:val="24"/>
          <w:szCs w:val="24"/>
          <w:lang w:eastAsia="es-CO"/>
        </w:rPr>
        <w:t> del Estatuto Tributario, el cual quedará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b/>
          <w:bCs/>
          <w:sz w:val="24"/>
          <w:szCs w:val="24"/>
          <w:lang w:eastAsia="es-CO"/>
        </w:rPr>
        <w:t>Parágrafo 5°. </w:t>
      </w:r>
      <w:r w:rsidRPr="006F6B75">
        <w:rPr>
          <w:rFonts w:ascii="Times New Roman" w:eastAsia="Times New Roman" w:hAnsi="Times New Roman" w:cs="Times New Roman"/>
          <w:sz w:val="24"/>
          <w:szCs w:val="24"/>
          <w:lang w:eastAsia="es-CO"/>
        </w:rPr>
        <w:t>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del sector agrícola que comercialicen productos adquiridos directamente al productor, podrán tener reconocimiento fiscal dichos pagos como costos, deducciones, pasivos o impuestos descontables, independientemente del número de pagos que se realicen durante el año, así:</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En el año 2019, el noventa por ciento (90%) de los costos, deducciones, pasivos o impuestos descontables totales.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En el año 2020, el ochenta y cinco por ciento (85%) de los costos, deducciones, pasivos o impuestos descontables totales.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En el año 2021, el setenta y cinco por ciento (75%) de los costos, deducciones, pasivos o impuesto descontables totales.</w:t>
      </w:r>
    </w:p>
    <w:p w:rsidR="00296598" w:rsidRPr="006F6B75" w:rsidRDefault="00296598" w:rsidP="00296598">
      <w:pPr>
        <w:spacing w:after="0" w:line="240" w:lineRule="auto"/>
        <w:ind w:left="180"/>
        <w:jc w:val="both"/>
        <w:rPr>
          <w:rFonts w:ascii="Times New Roman" w:eastAsia="Times New Roman" w:hAnsi="Times New Roman" w:cs="Times New Roman"/>
          <w:sz w:val="24"/>
          <w:szCs w:val="24"/>
          <w:lang w:eastAsia="es-CO"/>
        </w:rPr>
      </w:pPr>
      <w:r w:rsidRPr="006F6B75">
        <w:rPr>
          <w:rFonts w:ascii="Times New Roman" w:eastAsia="Times New Roman" w:hAnsi="Times New Roman" w:cs="Times New Roman"/>
          <w:sz w:val="24"/>
          <w:szCs w:val="24"/>
          <w:lang w:eastAsia="es-CO"/>
        </w:rPr>
        <w:t>- A partir del año 2022, el setenta (70%) de los costos, deducciones, pasivos o impuestos descontables totales.</w:t>
      </w:r>
    </w:p>
    <w:p w:rsidR="00296598" w:rsidRPr="006F6B75" w:rsidRDefault="00296598" w:rsidP="00296598">
      <w:pPr>
        <w:shd w:val="clear" w:color="auto" w:fill="FFFFFF"/>
        <w:spacing w:after="0" w:line="360" w:lineRule="auto"/>
        <w:jc w:val="both"/>
        <w:rPr>
          <w:rFonts w:ascii="Times New Roman" w:hAnsi="Times New Roman" w:cs="Times New Roman"/>
          <w:b/>
          <w:bCs/>
          <w:sz w:val="24"/>
          <w:szCs w:val="24"/>
          <w:shd w:val="clear" w:color="auto" w:fill="FFFFFF"/>
        </w:rPr>
      </w:pPr>
    </w:p>
    <w:p w:rsidR="00296598" w:rsidRPr="006F6B75" w:rsidRDefault="00296598" w:rsidP="00296598">
      <w:pPr>
        <w:shd w:val="clear" w:color="auto" w:fill="FFFFFF"/>
        <w:spacing w:after="0" w:line="360" w:lineRule="auto"/>
        <w:jc w:val="both"/>
        <w:rPr>
          <w:rFonts w:ascii="Times New Roman" w:hAnsi="Times New Roman" w:cs="Times New Roman"/>
          <w:b/>
          <w:bCs/>
          <w:sz w:val="24"/>
          <w:szCs w:val="24"/>
          <w:shd w:val="clear" w:color="auto" w:fill="FFFFFF"/>
        </w:rPr>
      </w:pPr>
      <w:r w:rsidRPr="008A79D7">
        <w:rPr>
          <w:rFonts w:ascii="Times New Roman" w:hAnsi="Times New Roman" w:cs="Times New Roman"/>
          <w:b/>
          <w:bCs/>
          <w:sz w:val="24"/>
          <w:szCs w:val="24"/>
          <w:highlight w:val="green"/>
          <w:shd w:val="clear" w:color="auto" w:fill="FFFFFF"/>
        </w:rPr>
        <w:t>Artículo 121.</w:t>
      </w:r>
      <w:r w:rsidRPr="008A79D7">
        <w:rPr>
          <w:rFonts w:ascii="Times New Roman" w:hAnsi="Times New Roman" w:cs="Times New Roman"/>
          <w:sz w:val="24"/>
          <w:szCs w:val="24"/>
          <w:highlight w:val="green"/>
          <w:shd w:val="clear" w:color="auto" w:fill="FFFFFF"/>
        </w:rPr>
        <w:t> </w:t>
      </w:r>
      <w:r w:rsidRPr="008A79D7">
        <w:rPr>
          <w:rFonts w:ascii="Times New Roman" w:hAnsi="Times New Roman" w:cs="Times New Roman"/>
          <w:i/>
          <w:iCs/>
          <w:sz w:val="24"/>
          <w:szCs w:val="24"/>
          <w:highlight w:val="green"/>
          <w:shd w:val="clear" w:color="auto" w:fill="FFFFFF"/>
        </w:rPr>
        <w:t>Transición en materia de dividendos. </w:t>
      </w:r>
      <w:r w:rsidRPr="008A79D7">
        <w:rPr>
          <w:rFonts w:ascii="Times New Roman" w:hAnsi="Times New Roman" w:cs="Times New Roman"/>
          <w:sz w:val="24"/>
          <w:szCs w:val="24"/>
          <w:highlight w:val="green"/>
          <w:shd w:val="clear" w:color="auto" w:fill="FFFFFF"/>
        </w:rPr>
        <w:t>Los dividendos decretados en calidad de exigibles a 31 de diciembre de 2018, mantendrán el tratamiento aplicable con anterioridad a la vigencia de esta ley.</w:t>
      </w:r>
    </w:p>
    <w:p w:rsidR="00296598" w:rsidRPr="006F6B75" w:rsidRDefault="00296598" w:rsidP="00296598">
      <w:pPr>
        <w:shd w:val="clear" w:color="auto" w:fill="FFFFFF"/>
        <w:spacing w:after="0" w:line="360" w:lineRule="auto"/>
        <w:jc w:val="both"/>
        <w:rPr>
          <w:rFonts w:ascii="Times New Roman" w:hAnsi="Times New Roman" w:cs="Times New Roman"/>
          <w:b/>
          <w:bCs/>
          <w:sz w:val="24"/>
          <w:szCs w:val="24"/>
          <w:shd w:val="clear" w:color="auto" w:fill="FFFFFF"/>
        </w:rPr>
      </w:pPr>
    </w:p>
    <w:p w:rsidR="00296598" w:rsidRPr="006F6B75" w:rsidRDefault="00296598" w:rsidP="00296598">
      <w:pPr>
        <w:shd w:val="clear" w:color="auto" w:fill="FFFFFF"/>
        <w:spacing w:after="0" w:line="360" w:lineRule="auto"/>
        <w:jc w:val="both"/>
        <w:rPr>
          <w:rFonts w:ascii="Times New Roman" w:eastAsia="Arial" w:hAnsi="Times New Roman" w:cs="Times New Roman"/>
          <w:sz w:val="24"/>
          <w:szCs w:val="24"/>
          <w:lang w:eastAsia="es-CO"/>
        </w:rPr>
      </w:pPr>
      <w:r w:rsidRPr="006F6B75">
        <w:rPr>
          <w:rFonts w:ascii="Times New Roman" w:hAnsi="Times New Roman" w:cs="Times New Roman"/>
          <w:b/>
          <w:bCs/>
          <w:sz w:val="24"/>
          <w:szCs w:val="24"/>
          <w:shd w:val="clear" w:color="auto" w:fill="FFFFFF"/>
        </w:rPr>
        <w:t>Artículo 122.</w:t>
      </w:r>
      <w:r w:rsidRPr="006F6B75">
        <w:rPr>
          <w:rFonts w:ascii="Times New Roman" w:hAnsi="Times New Roman" w:cs="Times New Roman"/>
          <w:sz w:val="24"/>
          <w:szCs w:val="24"/>
          <w:shd w:val="clear" w:color="auto" w:fill="FFFFFF"/>
        </w:rPr>
        <w:t> </w:t>
      </w:r>
      <w:r w:rsidRPr="006F6B75">
        <w:rPr>
          <w:rFonts w:ascii="Times New Roman" w:hAnsi="Times New Roman" w:cs="Times New Roman"/>
          <w:i/>
          <w:iCs/>
          <w:sz w:val="24"/>
          <w:szCs w:val="24"/>
          <w:shd w:val="clear" w:color="auto" w:fill="FFFFFF"/>
        </w:rPr>
        <w:t>Vigencia y derogatorias. </w:t>
      </w:r>
      <w:r w:rsidRPr="006F6B75">
        <w:rPr>
          <w:rFonts w:ascii="Times New Roman" w:hAnsi="Times New Roman" w:cs="Times New Roman"/>
          <w:sz w:val="24"/>
          <w:szCs w:val="24"/>
          <w:shd w:val="clear" w:color="auto" w:fill="FFFFFF"/>
        </w:rPr>
        <w:t xml:space="preserve">El artículo 70 de la presente ley regirá a partir del 1° de julio de 2019 y los demás artículos de la presente ley rigen a partir de su promulgación y deroga el artículo 264 de la Ley 223 de 1995, el artículo 9° de la Ley 1753 de 2015, los </w:t>
      </w:r>
      <w:r w:rsidRPr="006F6B75">
        <w:rPr>
          <w:rFonts w:ascii="Times New Roman" w:hAnsi="Times New Roman" w:cs="Times New Roman"/>
          <w:sz w:val="24"/>
          <w:szCs w:val="24"/>
          <w:shd w:val="clear" w:color="auto" w:fill="FFFFFF"/>
        </w:rPr>
        <w:lastRenderedPageBreak/>
        <w:t>artículos </w:t>
      </w:r>
      <w:hyperlink r:id="rId284" w:tooltip="Estatuto Tributario CETA" w:history="1">
        <w:r w:rsidRPr="006F6B75">
          <w:rPr>
            <w:rFonts w:ascii="Times New Roman" w:hAnsi="Times New Roman" w:cs="Times New Roman"/>
            <w:sz w:val="24"/>
            <w:szCs w:val="24"/>
            <w:u w:val="single"/>
            <w:shd w:val="clear" w:color="auto" w:fill="FFFFFF"/>
          </w:rPr>
          <w:t>38</w:t>
        </w:r>
      </w:hyperlink>
      <w:r w:rsidRPr="006F6B75">
        <w:rPr>
          <w:rFonts w:ascii="Times New Roman" w:hAnsi="Times New Roman" w:cs="Times New Roman"/>
          <w:sz w:val="24"/>
          <w:szCs w:val="24"/>
          <w:shd w:val="clear" w:color="auto" w:fill="FFFFFF"/>
        </w:rPr>
        <w:t>, </w:t>
      </w:r>
      <w:hyperlink r:id="rId285" w:tooltip="Estatuto Tributario CETA" w:history="1">
        <w:r w:rsidRPr="006F6B75">
          <w:rPr>
            <w:rFonts w:ascii="Times New Roman" w:hAnsi="Times New Roman" w:cs="Times New Roman"/>
            <w:sz w:val="24"/>
            <w:szCs w:val="24"/>
            <w:u w:val="single"/>
            <w:shd w:val="clear" w:color="auto" w:fill="FFFFFF"/>
          </w:rPr>
          <w:t>39</w:t>
        </w:r>
      </w:hyperlink>
      <w:r w:rsidRPr="006F6B75">
        <w:rPr>
          <w:rFonts w:ascii="Times New Roman" w:hAnsi="Times New Roman" w:cs="Times New Roman"/>
          <w:sz w:val="24"/>
          <w:szCs w:val="24"/>
          <w:shd w:val="clear" w:color="auto" w:fill="FFFFFF"/>
        </w:rPr>
        <w:t>, </w:t>
      </w:r>
      <w:hyperlink r:id="rId286" w:tooltip="Estatuto Tributario CETA" w:history="1">
        <w:r w:rsidRPr="006F6B75">
          <w:rPr>
            <w:rFonts w:ascii="Times New Roman" w:hAnsi="Times New Roman" w:cs="Times New Roman"/>
            <w:sz w:val="24"/>
            <w:szCs w:val="24"/>
            <w:u w:val="single"/>
            <w:shd w:val="clear" w:color="auto" w:fill="FFFFFF"/>
          </w:rPr>
          <w:t>40</w:t>
        </w:r>
      </w:hyperlink>
      <w:r w:rsidRPr="006F6B75">
        <w:rPr>
          <w:rFonts w:ascii="Times New Roman" w:hAnsi="Times New Roman" w:cs="Times New Roman"/>
          <w:sz w:val="24"/>
          <w:szCs w:val="24"/>
          <w:shd w:val="clear" w:color="auto" w:fill="FFFFFF"/>
        </w:rPr>
        <w:t>, </w:t>
      </w:r>
      <w:hyperlink r:id="rId287" w:tooltip="Estatuto Tributario CETA" w:history="1">
        <w:r w:rsidRPr="006F6B75">
          <w:rPr>
            <w:rFonts w:ascii="Times New Roman" w:hAnsi="Times New Roman" w:cs="Times New Roman"/>
            <w:sz w:val="24"/>
            <w:szCs w:val="24"/>
            <w:u w:val="single"/>
            <w:shd w:val="clear" w:color="auto" w:fill="FFFFFF"/>
          </w:rPr>
          <w:t>40-1</w:t>
        </w:r>
      </w:hyperlink>
      <w:r w:rsidRPr="006F6B75">
        <w:rPr>
          <w:rFonts w:ascii="Times New Roman" w:hAnsi="Times New Roman" w:cs="Times New Roman"/>
          <w:sz w:val="24"/>
          <w:szCs w:val="24"/>
          <w:shd w:val="clear" w:color="auto" w:fill="FFFFFF"/>
        </w:rPr>
        <w:t>, </w:t>
      </w:r>
      <w:hyperlink r:id="rId288" w:tooltip="Estatuto Tributario CETA" w:history="1">
        <w:r w:rsidRPr="006F6B75">
          <w:rPr>
            <w:rFonts w:ascii="Times New Roman" w:hAnsi="Times New Roman" w:cs="Times New Roman"/>
            <w:sz w:val="24"/>
            <w:szCs w:val="24"/>
            <w:u w:val="single"/>
            <w:shd w:val="clear" w:color="auto" w:fill="FFFFFF"/>
          </w:rPr>
          <w:t>41</w:t>
        </w:r>
      </w:hyperlink>
      <w:r w:rsidRPr="006F6B75">
        <w:rPr>
          <w:rFonts w:ascii="Times New Roman" w:hAnsi="Times New Roman" w:cs="Times New Roman"/>
          <w:sz w:val="24"/>
          <w:szCs w:val="24"/>
          <w:shd w:val="clear" w:color="auto" w:fill="FFFFFF"/>
        </w:rPr>
        <w:t>, el inciso tercero del </w:t>
      </w:r>
      <w:hyperlink r:id="rId289" w:tooltip="Estatuto Tributario CETA" w:history="1">
        <w:r w:rsidRPr="006F6B75">
          <w:rPr>
            <w:rFonts w:ascii="Times New Roman" w:hAnsi="Times New Roman" w:cs="Times New Roman"/>
            <w:sz w:val="24"/>
            <w:szCs w:val="24"/>
            <w:u w:val="single"/>
            <w:shd w:val="clear" w:color="auto" w:fill="FFFFFF"/>
          </w:rPr>
          <w:t>artículo 48</w:t>
        </w:r>
      </w:hyperlink>
      <w:r w:rsidRPr="006F6B75">
        <w:rPr>
          <w:rFonts w:ascii="Times New Roman" w:hAnsi="Times New Roman" w:cs="Times New Roman"/>
          <w:sz w:val="24"/>
          <w:szCs w:val="24"/>
          <w:shd w:val="clear" w:color="auto" w:fill="FFFFFF"/>
        </w:rPr>
        <w:t>, el parágrafo 3º del artículo </w:t>
      </w:r>
      <w:hyperlink r:id="rId290" w:tooltip="Estatuto Tributario CETA" w:history="1">
        <w:r w:rsidRPr="006F6B75">
          <w:rPr>
            <w:rFonts w:ascii="Times New Roman" w:hAnsi="Times New Roman" w:cs="Times New Roman"/>
            <w:sz w:val="24"/>
            <w:szCs w:val="24"/>
            <w:u w:val="single"/>
            <w:shd w:val="clear" w:color="auto" w:fill="FFFFFF"/>
          </w:rPr>
          <w:t>49</w:t>
        </w:r>
      </w:hyperlink>
      <w:r w:rsidRPr="006F6B75">
        <w:rPr>
          <w:rFonts w:ascii="Times New Roman" w:hAnsi="Times New Roman" w:cs="Times New Roman"/>
          <w:sz w:val="24"/>
          <w:szCs w:val="24"/>
          <w:shd w:val="clear" w:color="auto" w:fill="FFFFFF"/>
        </w:rPr>
        <w:t>, </w:t>
      </w:r>
      <w:hyperlink r:id="rId291" w:tooltip="Estatuto Tributario CETA" w:history="1">
        <w:r w:rsidRPr="006F6B75">
          <w:rPr>
            <w:rFonts w:ascii="Times New Roman" w:hAnsi="Times New Roman" w:cs="Times New Roman"/>
            <w:sz w:val="24"/>
            <w:szCs w:val="24"/>
            <w:u w:val="single"/>
            <w:shd w:val="clear" w:color="auto" w:fill="FFFFFF"/>
          </w:rPr>
          <w:t>56-2</w:t>
        </w:r>
      </w:hyperlink>
      <w:r w:rsidRPr="006F6B75">
        <w:rPr>
          <w:rFonts w:ascii="Times New Roman" w:hAnsi="Times New Roman" w:cs="Times New Roman"/>
          <w:sz w:val="24"/>
          <w:szCs w:val="24"/>
          <w:shd w:val="clear" w:color="auto" w:fill="FFFFFF"/>
        </w:rPr>
        <w:t>, </w:t>
      </w:r>
      <w:hyperlink r:id="rId292" w:tooltip="Estatuto Tributario CETA" w:history="1">
        <w:r w:rsidRPr="006F6B75">
          <w:rPr>
            <w:rFonts w:ascii="Times New Roman" w:hAnsi="Times New Roman" w:cs="Times New Roman"/>
            <w:sz w:val="24"/>
            <w:szCs w:val="24"/>
            <w:u w:val="single"/>
            <w:shd w:val="clear" w:color="auto" w:fill="FFFFFF"/>
          </w:rPr>
          <w:t>81</w:t>
        </w:r>
      </w:hyperlink>
      <w:r w:rsidRPr="006F6B75">
        <w:rPr>
          <w:rFonts w:ascii="Times New Roman" w:hAnsi="Times New Roman" w:cs="Times New Roman"/>
          <w:sz w:val="24"/>
          <w:szCs w:val="24"/>
          <w:shd w:val="clear" w:color="auto" w:fill="FFFFFF"/>
        </w:rPr>
        <w:t>, </w:t>
      </w:r>
      <w:hyperlink r:id="rId293" w:tooltip="Estatuto Tributario CETA" w:history="1">
        <w:r w:rsidRPr="006F6B75">
          <w:rPr>
            <w:rFonts w:ascii="Times New Roman" w:hAnsi="Times New Roman" w:cs="Times New Roman"/>
            <w:sz w:val="24"/>
            <w:szCs w:val="24"/>
            <w:u w:val="single"/>
            <w:shd w:val="clear" w:color="auto" w:fill="FFFFFF"/>
          </w:rPr>
          <w:t>81-1</w:t>
        </w:r>
      </w:hyperlink>
      <w:r w:rsidRPr="006F6B75">
        <w:rPr>
          <w:rFonts w:ascii="Times New Roman" w:hAnsi="Times New Roman" w:cs="Times New Roman"/>
          <w:sz w:val="24"/>
          <w:szCs w:val="24"/>
          <w:shd w:val="clear" w:color="auto" w:fill="FFFFFF"/>
        </w:rPr>
        <w:t>, </w:t>
      </w:r>
      <w:hyperlink r:id="rId294" w:tooltip="Estatuto Tributario CETA" w:history="1">
        <w:r w:rsidRPr="006F6B75">
          <w:rPr>
            <w:rFonts w:ascii="Times New Roman" w:hAnsi="Times New Roman" w:cs="Times New Roman"/>
            <w:sz w:val="24"/>
            <w:szCs w:val="24"/>
            <w:u w:val="single"/>
            <w:shd w:val="clear" w:color="auto" w:fill="FFFFFF"/>
          </w:rPr>
          <w:t>115-2</w:t>
        </w:r>
      </w:hyperlink>
      <w:r w:rsidRPr="006F6B75">
        <w:rPr>
          <w:rFonts w:ascii="Times New Roman" w:hAnsi="Times New Roman" w:cs="Times New Roman"/>
          <w:sz w:val="24"/>
          <w:szCs w:val="24"/>
          <w:shd w:val="clear" w:color="auto" w:fill="FFFFFF"/>
        </w:rPr>
        <w:t>, </w:t>
      </w:r>
      <w:hyperlink r:id="rId295" w:tooltip="Estatuto Tributario CETA" w:history="1">
        <w:r w:rsidRPr="006F6B75">
          <w:rPr>
            <w:rFonts w:ascii="Times New Roman" w:hAnsi="Times New Roman" w:cs="Times New Roman"/>
            <w:sz w:val="24"/>
            <w:szCs w:val="24"/>
            <w:u w:val="single"/>
            <w:shd w:val="clear" w:color="auto" w:fill="FFFFFF"/>
          </w:rPr>
          <w:t>116</w:t>
        </w:r>
      </w:hyperlink>
      <w:r w:rsidRPr="006F6B75">
        <w:rPr>
          <w:rFonts w:ascii="Times New Roman" w:hAnsi="Times New Roman" w:cs="Times New Roman"/>
          <w:sz w:val="24"/>
          <w:szCs w:val="24"/>
          <w:shd w:val="clear" w:color="auto" w:fill="FFFFFF"/>
        </w:rPr>
        <w:t>, </w:t>
      </w:r>
      <w:hyperlink r:id="rId296" w:tooltip="Estatuto Tributario CETA" w:history="1">
        <w:r w:rsidRPr="006F6B75">
          <w:rPr>
            <w:rFonts w:ascii="Times New Roman" w:hAnsi="Times New Roman" w:cs="Times New Roman"/>
            <w:sz w:val="24"/>
            <w:szCs w:val="24"/>
            <w:u w:val="single"/>
            <w:shd w:val="clear" w:color="auto" w:fill="FFFFFF"/>
          </w:rPr>
          <w:t>118</w:t>
        </w:r>
      </w:hyperlink>
      <w:r w:rsidRPr="006F6B75">
        <w:rPr>
          <w:rFonts w:ascii="Times New Roman" w:hAnsi="Times New Roman" w:cs="Times New Roman"/>
          <w:sz w:val="24"/>
          <w:szCs w:val="24"/>
          <w:shd w:val="clear" w:color="auto" w:fill="FFFFFF"/>
        </w:rPr>
        <w:t>, el parágrafo 3° del </w:t>
      </w:r>
      <w:hyperlink r:id="rId297" w:tooltip="Estatuto Tributario CETA" w:history="1">
        <w:r w:rsidRPr="006F6B75">
          <w:rPr>
            <w:rFonts w:ascii="Times New Roman" w:hAnsi="Times New Roman" w:cs="Times New Roman"/>
            <w:sz w:val="24"/>
            <w:szCs w:val="24"/>
            <w:u w:val="single"/>
            <w:shd w:val="clear" w:color="auto" w:fill="FFFFFF"/>
          </w:rPr>
          <w:t>artículo 127-1</w:t>
        </w:r>
      </w:hyperlink>
      <w:r w:rsidRPr="006F6B75">
        <w:rPr>
          <w:rFonts w:ascii="Times New Roman" w:hAnsi="Times New Roman" w:cs="Times New Roman"/>
          <w:sz w:val="24"/>
          <w:szCs w:val="24"/>
          <w:shd w:val="clear" w:color="auto" w:fill="FFFFFF"/>
        </w:rPr>
        <w:t>, el numeral 7 del artículo </w:t>
      </w:r>
      <w:hyperlink r:id="rId298" w:tooltip="Estatuto Tributario CETA" w:history="1">
        <w:r w:rsidRPr="006F6B75">
          <w:rPr>
            <w:rFonts w:ascii="Times New Roman" w:hAnsi="Times New Roman" w:cs="Times New Roman"/>
            <w:sz w:val="24"/>
            <w:szCs w:val="24"/>
            <w:u w:val="single"/>
            <w:shd w:val="clear" w:color="auto" w:fill="FFFFFF"/>
          </w:rPr>
          <w:t>206</w:t>
        </w:r>
      </w:hyperlink>
      <w:r w:rsidRPr="006F6B75">
        <w:rPr>
          <w:rFonts w:ascii="Times New Roman" w:hAnsi="Times New Roman" w:cs="Times New Roman"/>
          <w:sz w:val="24"/>
          <w:szCs w:val="24"/>
          <w:shd w:val="clear" w:color="auto" w:fill="FFFFFF"/>
        </w:rPr>
        <w:t>, </w:t>
      </w:r>
      <w:hyperlink r:id="rId299" w:tooltip="Estatuto Tributario CETA" w:history="1">
        <w:r w:rsidRPr="006F6B75">
          <w:rPr>
            <w:rFonts w:ascii="Times New Roman" w:hAnsi="Times New Roman" w:cs="Times New Roman"/>
            <w:sz w:val="24"/>
            <w:szCs w:val="24"/>
            <w:u w:val="single"/>
            <w:shd w:val="clear" w:color="auto" w:fill="FFFFFF"/>
          </w:rPr>
          <w:t>223</w:t>
        </w:r>
      </w:hyperlink>
      <w:r w:rsidRPr="006F6B75">
        <w:rPr>
          <w:rFonts w:ascii="Times New Roman" w:hAnsi="Times New Roman" w:cs="Times New Roman"/>
          <w:sz w:val="24"/>
          <w:szCs w:val="24"/>
          <w:shd w:val="clear" w:color="auto" w:fill="FFFFFF"/>
        </w:rPr>
        <w:t>, el parágrafo 6° del </w:t>
      </w:r>
      <w:hyperlink r:id="rId300" w:tooltip="Estatuto Tributario CETA" w:history="1">
        <w:r w:rsidRPr="006F6B75">
          <w:rPr>
            <w:rFonts w:ascii="Times New Roman" w:hAnsi="Times New Roman" w:cs="Times New Roman"/>
            <w:sz w:val="24"/>
            <w:szCs w:val="24"/>
            <w:u w:val="single"/>
            <w:shd w:val="clear" w:color="auto" w:fill="FFFFFF"/>
          </w:rPr>
          <w:t>artículo 240</w:t>
        </w:r>
      </w:hyperlink>
      <w:r w:rsidRPr="006F6B75">
        <w:rPr>
          <w:rFonts w:ascii="Times New Roman" w:hAnsi="Times New Roman" w:cs="Times New Roman"/>
          <w:sz w:val="24"/>
          <w:szCs w:val="24"/>
          <w:shd w:val="clear" w:color="auto" w:fill="FFFFFF"/>
        </w:rPr>
        <w:t>, la referencia al numeral 7 del </w:t>
      </w:r>
      <w:hyperlink r:id="rId301" w:tooltip="Estatuto Tributario CETA" w:history="1">
        <w:r w:rsidRPr="006F6B75">
          <w:rPr>
            <w:rFonts w:ascii="Times New Roman" w:hAnsi="Times New Roman" w:cs="Times New Roman"/>
            <w:sz w:val="24"/>
            <w:szCs w:val="24"/>
            <w:u w:val="single"/>
            <w:shd w:val="clear" w:color="auto" w:fill="FFFFFF"/>
          </w:rPr>
          <w:t>artículo 207-2</w:t>
        </w:r>
      </w:hyperlink>
      <w:r w:rsidRPr="006F6B75">
        <w:rPr>
          <w:rFonts w:ascii="Times New Roman" w:hAnsi="Times New Roman" w:cs="Times New Roman"/>
          <w:sz w:val="24"/>
          <w:szCs w:val="24"/>
          <w:shd w:val="clear" w:color="auto" w:fill="FFFFFF"/>
        </w:rPr>
        <w:t> del parágrafo 1 del artículo </w:t>
      </w:r>
      <w:hyperlink r:id="rId302" w:tooltip="Estatuto Tributario CETA" w:history="1">
        <w:r w:rsidRPr="006F6B75">
          <w:rPr>
            <w:rFonts w:ascii="Times New Roman" w:hAnsi="Times New Roman" w:cs="Times New Roman"/>
            <w:sz w:val="24"/>
            <w:szCs w:val="24"/>
            <w:u w:val="single"/>
            <w:shd w:val="clear" w:color="auto" w:fill="FFFFFF"/>
          </w:rPr>
          <w:t>240</w:t>
        </w:r>
      </w:hyperlink>
      <w:r w:rsidRPr="006F6B75">
        <w:rPr>
          <w:rFonts w:ascii="Times New Roman" w:hAnsi="Times New Roman" w:cs="Times New Roman"/>
          <w:sz w:val="24"/>
          <w:szCs w:val="24"/>
          <w:shd w:val="clear" w:color="auto" w:fill="FFFFFF"/>
        </w:rPr>
        <w:t>, </w:t>
      </w:r>
      <w:hyperlink r:id="rId303" w:tooltip="Estatuto Tributario CETA" w:history="1">
        <w:r w:rsidRPr="006F6B75">
          <w:rPr>
            <w:rFonts w:ascii="Times New Roman" w:hAnsi="Times New Roman" w:cs="Times New Roman"/>
            <w:sz w:val="24"/>
            <w:szCs w:val="24"/>
            <w:u w:val="single"/>
            <w:shd w:val="clear" w:color="auto" w:fill="FFFFFF"/>
          </w:rPr>
          <w:t>258-2</w:t>
        </w:r>
      </w:hyperlink>
      <w:r w:rsidRPr="006F6B75">
        <w:rPr>
          <w:rFonts w:ascii="Times New Roman" w:hAnsi="Times New Roman" w:cs="Times New Roman"/>
          <w:sz w:val="24"/>
          <w:szCs w:val="24"/>
          <w:shd w:val="clear" w:color="auto" w:fill="FFFFFF"/>
        </w:rPr>
        <w:t>, </w:t>
      </w:r>
      <w:hyperlink r:id="rId304" w:tooltip="Estatuto Tributario CETA" w:history="1">
        <w:r w:rsidRPr="006F6B75">
          <w:rPr>
            <w:rFonts w:ascii="Times New Roman" w:hAnsi="Times New Roman" w:cs="Times New Roman"/>
            <w:sz w:val="24"/>
            <w:szCs w:val="24"/>
            <w:u w:val="single"/>
            <w:shd w:val="clear" w:color="auto" w:fill="FFFFFF"/>
          </w:rPr>
          <w:t>292</w:t>
        </w:r>
      </w:hyperlink>
      <w:r w:rsidRPr="006F6B75">
        <w:rPr>
          <w:rFonts w:ascii="Times New Roman" w:hAnsi="Times New Roman" w:cs="Times New Roman"/>
          <w:sz w:val="24"/>
          <w:szCs w:val="24"/>
          <w:shd w:val="clear" w:color="auto" w:fill="FFFFFF"/>
        </w:rPr>
        <w:t>, </w:t>
      </w:r>
      <w:hyperlink r:id="rId305" w:tooltip="Estatuto Tributario CETA" w:history="1">
        <w:r w:rsidRPr="006F6B75">
          <w:rPr>
            <w:rFonts w:ascii="Times New Roman" w:hAnsi="Times New Roman" w:cs="Times New Roman"/>
            <w:sz w:val="24"/>
            <w:szCs w:val="24"/>
            <w:u w:val="single"/>
            <w:shd w:val="clear" w:color="auto" w:fill="FFFFFF"/>
          </w:rPr>
          <w:t>292-1</w:t>
        </w:r>
      </w:hyperlink>
      <w:r w:rsidRPr="006F6B75">
        <w:rPr>
          <w:rFonts w:ascii="Times New Roman" w:hAnsi="Times New Roman" w:cs="Times New Roman"/>
          <w:sz w:val="24"/>
          <w:szCs w:val="24"/>
          <w:shd w:val="clear" w:color="auto" w:fill="FFFFFF"/>
        </w:rPr>
        <w:t>, </w:t>
      </w:r>
      <w:hyperlink r:id="rId306" w:tooltip="Estatuto Tributario CETA" w:history="1">
        <w:r w:rsidRPr="006F6B75">
          <w:rPr>
            <w:rFonts w:ascii="Times New Roman" w:hAnsi="Times New Roman" w:cs="Times New Roman"/>
            <w:sz w:val="24"/>
            <w:szCs w:val="24"/>
            <w:u w:val="single"/>
            <w:shd w:val="clear" w:color="auto" w:fill="FFFFFF"/>
          </w:rPr>
          <w:t>293</w:t>
        </w:r>
      </w:hyperlink>
      <w:r w:rsidRPr="006F6B75">
        <w:rPr>
          <w:rFonts w:ascii="Times New Roman" w:hAnsi="Times New Roman" w:cs="Times New Roman"/>
          <w:sz w:val="24"/>
          <w:szCs w:val="24"/>
          <w:shd w:val="clear" w:color="auto" w:fill="FFFFFF"/>
        </w:rPr>
        <w:t>, </w:t>
      </w:r>
      <w:hyperlink r:id="rId307" w:tooltip="Estatuto Tributario CETA" w:history="1">
        <w:r w:rsidRPr="006F6B75">
          <w:rPr>
            <w:rFonts w:ascii="Times New Roman" w:hAnsi="Times New Roman" w:cs="Times New Roman"/>
            <w:sz w:val="24"/>
            <w:szCs w:val="24"/>
            <w:u w:val="single"/>
            <w:shd w:val="clear" w:color="auto" w:fill="FFFFFF"/>
          </w:rPr>
          <w:t>293-1</w:t>
        </w:r>
      </w:hyperlink>
      <w:r w:rsidRPr="006F6B75">
        <w:rPr>
          <w:rFonts w:ascii="Times New Roman" w:hAnsi="Times New Roman" w:cs="Times New Roman"/>
          <w:sz w:val="24"/>
          <w:szCs w:val="24"/>
          <w:shd w:val="clear" w:color="auto" w:fill="FFFFFF"/>
        </w:rPr>
        <w:t>, </w:t>
      </w:r>
      <w:hyperlink r:id="rId308" w:tooltip="Estatuto Tributario CETA" w:history="1">
        <w:r w:rsidRPr="006F6B75">
          <w:rPr>
            <w:rFonts w:ascii="Times New Roman" w:hAnsi="Times New Roman" w:cs="Times New Roman"/>
            <w:sz w:val="24"/>
            <w:szCs w:val="24"/>
            <w:u w:val="single"/>
            <w:shd w:val="clear" w:color="auto" w:fill="FFFFFF"/>
          </w:rPr>
          <w:t>293-2</w:t>
        </w:r>
      </w:hyperlink>
      <w:r w:rsidRPr="006F6B75">
        <w:rPr>
          <w:rFonts w:ascii="Times New Roman" w:hAnsi="Times New Roman" w:cs="Times New Roman"/>
          <w:sz w:val="24"/>
          <w:szCs w:val="24"/>
          <w:shd w:val="clear" w:color="auto" w:fill="FFFFFF"/>
        </w:rPr>
        <w:t>, </w:t>
      </w:r>
      <w:hyperlink r:id="rId309" w:tooltip="Estatuto Tributario CETA" w:history="1">
        <w:r w:rsidRPr="006F6B75">
          <w:rPr>
            <w:rFonts w:ascii="Times New Roman" w:hAnsi="Times New Roman" w:cs="Times New Roman"/>
            <w:sz w:val="24"/>
            <w:szCs w:val="24"/>
            <w:u w:val="single"/>
            <w:shd w:val="clear" w:color="auto" w:fill="FFFFFF"/>
          </w:rPr>
          <w:t>294</w:t>
        </w:r>
      </w:hyperlink>
      <w:r w:rsidRPr="006F6B75">
        <w:rPr>
          <w:rFonts w:ascii="Times New Roman" w:hAnsi="Times New Roman" w:cs="Times New Roman"/>
          <w:sz w:val="24"/>
          <w:szCs w:val="24"/>
          <w:shd w:val="clear" w:color="auto" w:fill="FFFFFF"/>
        </w:rPr>
        <w:t>, </w:t>
      </w:r>
      <w:hyperlink r:id="rId310" w:tooltip="Estatuto Tributario CETA" w:history="1">
        <w:r w:rsidRPr="006F6B75">
          <w:rPr>
            <w:rFonts w:ascii="Times New Roman" w:hAnsi="Times New Roman" w:cs="Times New Roman"/>
            <w:sz w:val="24"/>
            <w:szCs w:val="24"/>
            <w:u w:val="single"/>
            <w:shd w:val="clear" w:color="auto" w:fill="FFFFFF"/>
          </w:rPr>
          <w:t>294-1</w:t>
        </w:r>
      </w:hyperlink>
      <w:r w:rsidRPr="006F6B75">
        <w:rPr>
          <w:rFonts w:ascii="Times New Roman" w:hAnsi="Times New Roman" w:cs="Times New Roman"/>
          <w:sz w:val="24"/>
          <w:szCs w:val="24"/>
          <w:shd w:val="clear" w:color="auto" w:fill="FFFFFF"/>
        </w:rPr>
        <w:t>, </w:t>
      </w:r>
      <w:hyperlink r:id="rId311" w:tooltip="Estatuto Tributario CETA" w:history="1">
        <w:r w:rsidRPr="006F6B75">
          <w:rPr>
            <w:rFonts w:ascii="Times New Roman" w:hAnsi="Times New Roman" w:cs="Times New Roman"/>
            <w:sz w:val="24"/>
            <w:szCs w:val="24"/>
            <w:u w:val="single"/>
            <w:shd w:val="clear" w:color="auto" w:fill="FFFFFF"/>
          </w:rPr>
          <w:t>295</w:t>
        </w:r>
      </w:hyperlink>
      <w:r w:rsidRPr="006F6B75">
        <w:rPr>
          <w:rFonts w:ascii="Times New Roman" w:hAnsi="Times New Roman" w:cs="Times New Roman"/>
          <w:sz w:val="24"/>
          <w:szCs w:val="24"/>
          <w:shd w:val="clear" w:color="auto" w:fill="FFFFFF"/>
        </w:rPr>
        <w:t>, </w:t>
      </w:r>
      <w:hyperlink r:id="rId312" w:tooltip="Estatuto Tributario CETA" w:history="1">
        <w:r w:rsidRPr="006F6B75">
          <w:rPr>
            <w:rFonts w:ascii="Times New Roman" w:hAnsi="Times New Roman" w:cs="Times New Roman"/>
            <w:sz w:val="24"/>
            <w:szCs w:val="24"/>
            <w:u w:val="single"/>
            <w:shd w:val="clear" w:color="auto" w:fill="FFFFFF"/>
          </w:rPr>
          <w:t>295-1</w:t>
        </w:r>
      </w:hyperlink>
      <w:r w:rsidRPr="006F6B75">
        <w:rPr>
          <w:rFonts w:ascii="Times New Roman" w:hAnsi="Times New Roman" w:cs="Times New Roman"/>
          <w:sz w:val="24"/>
          <w:szCs w:val="24"/>
          <w:shd w:val="clear" w:color="auto" w:fill="FFFFFF"/>
        </w:rPr>
        <w:t>, </w:t>
      </w:r>
      <w:hyperlink r:id="rId313" w:tooltip="Estatuto Tributario CETA" w:history="1">
        <w:r w:rsidRPr="006F6B75">
          <w:rPr>
            <w:rFonts w:ascii="Times New Roman" w:hAnsi="Times New Roman" w:cs="Times New Roman"/>
            <w:sz w:val="24"/>
            <w:szCs w:val="24"/>
            <w:u w:val="single"/>
            <w:shd w:val="clear" w:color="auto" w:fill="FFFFFF"/>
          </w:rPr>
          <w:t>296</w:t>
        </w:r>
      </w:hyperlink>
      <w:r w:rsidRPr="006F6B75">
        <w:rPr>
          <w:rFonts w:ascii="Times New Roman" w:hAnsi="Times New Roman" w:cs="Times New Roman"/>
          <w:sz w:val="24"/>
          <w:szCs w:val="24"/>
          <w:shd w:val="clear" w:color="auto" w:fill="FFFFFF"/>
        </w:rPr>
        <w:t>, </w:t>
      </w:r>
      <w:hyperlink r:id="rId314" w:tooltip="Estatuto Tributario CETA" w:history="1">
        <w:r w:rsidRPr="006F6B75">
          <w:rPr>
            <w:rFonts w:ascii="Times New Roman" w:hAnsi="Times New Roman" w:cs="Times New Roman"/>
            <w:sz w:val="24"/>
            <w:szCs w:val="24"/>
            <w:u w:val="single"/>
            <w:shd w:val="clear" w:color="auto" w:fill="FFFFFF"/>
          </w:rPr>
          <w:t>296-1</w:t>
        </w:r>
      </w:hyperlink>
      <w:r w:rsidRPr="006F6B75">
        <w:rPr>
          <w:rFonts w:ascii="Times New Roman" w:hAnsi="Times New Roman" w:cs="Times New Roman"/>
          <w:sz w:val="24"/>
          <w:szCs w:val="24"/>
          <w:shd w:val="clear" w:color="auto" w:fill="FFFFFF"/>
        </w:rPr>
        <w:t>, </w:t>
      </w:r>
      <w:hyperlink r:id="rId315" w:tooltip="Estatuto Tributario CETA" w:history="1">
        <w:r w:rsidRPr="006F6B75">
          <w:rPr>
            <w:rFonts w:ascii="Times New Roman" w:hAnsi="Times New Roman" w:cs="Times New Roman"/>
            <w:sz w:val="24"/>
            <w:szCs w:val="24"/>
            <w:u w:val="single"/>
            <w:shd w:val="clear" w:color="auto" w:fill="FFFFFF"/>
          </w:rPr>
          <w:t>297</w:t>
        </w:r>
      </w:hyperlink>
      <w:r w:rsidRPr="006F6B75">
        <w:rPr>
          <w:rFonts w:ascii="Times New Roman" w:hAnsi="Times New Roman" w:cs="Times New Roman"/>
          <w:sz w:val="24"/>
          <w:szCs w:val="24"/>
          <w:shd w:val="clear" w:color="auto" w:fill="FFFFFF"/>
        </w:rPr>
        <w:t>, </w:t>
      </w:r>
      <w:hyperlink r:id="rId316" w:tooltip="Estatuto Tributario CETA" w:history="1">
        <w:r w:rsidRPr="006F6B75">
          <w:rPr>
            <w:rFonts w:ascii="Times New Roman" w:hAnsi="Times New Roman" w:cs="Times New Roman"/>
            <w:sz w:val="24"/>
            <w:szCs w:val="24"/>
            <w:u w:val="single"/>
            <w:shd w:val="clear" w:color="auto" w:fill="FFFFFF"/>
          </w:rPr>
          <w:t>297-1</w:t>
        </w:r>
      </w:hyperlink>
      <w:r w:rsidRPr="006F6B75">
        <w:rPr>
          <w:rFonts w:ascii="Times New Roman" w:hAnsi="Times New Roman" w:cs="Times New Roman"/>
          <w:sz w:val="24"/>
          <w:szCs w:val="24"/>
          <w:shd w:val="clear" w:color="auto" w:fill="FFFFFF"/>
        </w:rPr>
        <w:t>, </w:t>
      </w:r>
      <w:hyperlink r:id="rId317" w:tooltip="Estatuto Tributario CETA" w:history="1">
        <w:r w:rsidRPr="006F6B75">
          <w:rPr>
            <w:rFonts w:ascii="Times New Roman" w:hAnsi="Times New Roman" w:cs="Times New Roman"/>
            <w:sz w:val="24"/>
            <w:szCs w:val="24"/>
            <w:u w:val="single"/>
            <w:shd w:val="clear" w:color="auto" w:fill="FFFFFF"/>
          </w:rPr>
          <w:t>298-3</w:t>
        </w:r>
      </w:hyperlink>
      <w:r w:rsidRPr="006F6B75">
        <w:rPr>
          <w:rFonts w:ascii="Times New Roman" w:hAnsi="Times New Roman" w:cs="Times New Roman"/>
          <w:sz w:val="24"/>
          <w:szCs w:val="24"/>
          <w:shd w:val="clear" w:color="auto" w:fill="FFFFFF"/>
        </w:rPr>
        <w:t>, </w:t>
      </w:r>
      <w:hyperlink r:id="rId318" w:tooltip="Estatuto Tributario CETA" w:history="1">
        <w:r w:rsidRPr="006F6B75">
          <w:rPr>
            <w:rFonts w:ascii="Times New Roman" w:hAnsi="Times New Roman" w:cs="Times New Roman"/>
            <w:sz w:val="24"/>
            <w:szCs w:val="24"/>
            <w:u w:val="single"/>
            <w:shd w:val="clear" w:color="auto" w:fill="FFFFFF"/>
          </w:rPr>
          <w:t>298-4</w:t>
        </w:r>
      </w:hyperlink>
      <w:r w:rsidRPr="006F6B75">
        <w:rPr>
          <w:rFonts w:ascii="Times New Roman" w:hAnsi="Times New Roman" w:cs="Times New Roman"/>
          <w:sz w:val="24"/>
          <w:szCs w:val="24"/>
          <w:shd w:val="clear" w:color="auto" w:fill="FFFFFF"/>
        </w:rPr>
        <w:t>, </w:t>
      </w:r>
      <w:hyperlink r:id="rId319" w:tooltip="Estatuto Tributario CETA" w:history="1">
        <w:r w:rsidRPr="006F6B75">
          <w:rPr>
            <w:rFonts w:ascii="Times New Roman" w:hAnsi="Times New Roman" w:cs="Times New Roman"/>
            <w:sz w:val="24"/>
            <w:szCs w:val="24"/>
            <w:u w:val="single"/>
            <w:shd w:val="clear" w:color="auto" w:fill="FFFFFF"/>
          </w:rPr>
          <w:t>298-5</w:t>
        </w:r>
      </w:hyperlink>
      <w:r w:rsidRPr="006F6B75">
        <w:rPr>
          <w:rFonts w:ascii="Times New Roman" w:hAnsi="Times New Roman" w:cs="Times New Roman"/>
          <w:sz w:val="24"/>
          <w:szCs w:val="24"/>
          <w:shd w:val="clear" w:color="auto" w:fill="FFFFFF"/>
        </w:rPr>
        <w:t>, el literal d) del numeral 5 del </w:t>
      </w:r>
      <w:hyperlink r:id="rId320" w:tooltip="Estatuto Tributario CETA" w:history="1">
        <w:r w:rsidRPr="006F6B75">
          <w:rPr>
            <w:rFonts w:ascii="Times New Roman" w:hAnsi="Times New Roman" w:cs="Times New Roman"/>
            <w:sz w:val="24"/>
            <w:szCs w:val="24"/>
            <w:u w:val="single"/>
            <w:shd w:val="clear" w:color="auto" w:fill="FFFFFF"/>
          </w:rPr>
          <w:t>artículo 319-4</w:t>
        </w:r>
      </w:hyperlink>
      <w:r w:rsidRPr="006F6B75">
        <w:rPr>
          <w:rFonts w:ascii="Times New Roman" w:hAnsi="Times New Roman" w:cs="Times New Roman"/>
          <w:sz w:val="24"/>
          <w:szCs w:val="24"/>
          <w:shd w:val="clear" w:color="auto" w:fill="FFFFFF"/>
        </w:rPr>
        <w:t>, el literal d) del numeral 4 del artículo </w:t>
      </w:r>
      <w:hyperlink r:id="rId321" w:tooltip="Estatuto Tributario CETA" w:history="1">
        <w:r w:rsidRPr="006F6B75">
          <w:rPr>
            <w:rFonts w:ascii="Times New Roman" w:hAnsi="Times New Roman" w:cs="Times New Roman"/>
            <w:sz w:val="24"/>
            <w:szCs w:val="24"/>
            <w:u w:val="single"/>
            <w:shd w:val="clear" w:color="auto" w:fill="FFFFFF"/>
          </w:rPr>
          <w:t>319-6</w:t>
        </w:r>
      </w:hyperlink>
      <w:r w:rsidRPr="006F6B75">
        <w:rPr>
          <w:rFonts w:ascii="Times New Roman" w:hAnsi="Times New Roman" w:cs="Times New Roman"/>
          <w:sz w:val="24"/>
          <w:szCs w:val="24"/>
          <w:shd w:val="clear" w:color="auto" w:fill="FFFFFF"/>
        </w:rPr>
        <w:t>, </w:t>
      </w:r>
      <w:hyperlink r:id="rId322" w:tooltip="Estatuto Tributario CETA" w:history="1">
        <w:r w:rsidRPr="006F6B75">
          <w:rPr>
            <w:rFonts w:ascii="Times New Roman" w:hAnsi="Times New Roman" w:cs="Times New Roman"/>
            <w:sz w:val="24"/>
            <w:szCs w:val="24"/>
            <w:u w:val="single"/>
            <w:shd w:val="clear" w:color="auto" w:fill="FFFFFF"/>
          </w:rPr>
          <w:t>338</w:t>
        </w:r>
      </w:hyperlink>
      <w:r w:rsidRPr="006F6B75">
        <w:rPr>
          <w:rFonts w:ascii="Times New Roman" w:hAnsi="Times New Roman" w:cs="Times New Roman"/>
          <w:sz w:val="24"/>
          <w:szCs w:val="24"/>
          <w:shd w:val="clear" w:color="auto" w:fill="FFFFFF"/>
        </w:rPr>
        <w:t>, </w:t>
      </w:r>
      <w:hyperlink r:id="rId323" w:tooltip="Estatuto Tributario CETA" w:history="1">
        <w:r w:rsidRPr="006F6B75">
          <w:rPr>
            <w:rFonts w:ascii="Times New Roman" w:hAnsi="Times New Roman" w:cs="Times New Roman"/>
            <w:sz w:val="24"/>
            <w:szCs w:val="24"/>
            <w:u w:val="single"/>
            <w:shd w:val="clear" w:color="auto" w:fill="FFFFFF"/>
          </w:rPr>
          <w:t>339</w:t>
        </w:r>
      </w:hyperlink>
      <w:r w:rsidRPr="006F6B75">
        <w:rPr>
          <w:rFonts w:ascii="Times New Roman" w:hAnsi="Times New Roman" w:cs="Times New Roman"/>
          <w:sz w:val="24"/>
          <w:szCs w:val="24"/>
          <w:shd w:val="clear" w:color="auto" w:fill="FFFFFF"/>
        </w:rPr>
        <w:t>, </w:t>
      </w:r>
      <w:hyperlink r:id="rId324" w:tooltip="Estatuto Tributario CETA" w:history="1">
        <w:r w:rsidRPr="006F6B75">
          <w:rPr>
            <w:rFonts w:ascii="Times New Roman" w:hAnsi="Times New Roman" w:cs="Times New Roman"/>
            <w:sz w:val="24"/>
            <w:szCs w:val="24"/>
            <w:u w:val="single"/>
            <w:shd w:val="clear" w:color="auto" w:fill="FFFFFF"/>
          </w:rPr>
          <w:t>340</w:t>
        </w:r>
      </w:hyperlink>
      <w:r w:rsidRPr="006F6B75">
        <w:rPr>
          <w:rFonts w:ascii="Times New Roman" w:hAnsi="Times New Roman" w:cs="Times New Roman"/>
          <w:sz w:val="24"/>
          <w:szCs w:val="24"/>
          <w:shd w:val="clear" w:color="auto" w:fill="FFFFFF"/>
        </w:rPr>
        <w:t>, </w:t>
      </w:r>
      <w:hyperlink r:id="rId325" w:tooltip="Estatuto Tributario CETA" w:history="1">
        <w:r w:rsidRPr="006F6B75">
          <w:rPr>
            <w:rFonts w:ascii="Times New Roman" w:hAnsi="Times New Roman" w:cs="Times New Roman"/>
            <w:sz w:val="24"/>
            <w:szCs w:val="24"/>
            <w:u w:val="single"/>
            <w:shd w:val="clear" w:color="auto" w:fill="FFFFFF"/>
          </w:rPr>
          <w:t>341</w:t>
        </w:r>
      </w:hyperlink>
      <w:r w:rsidRPr="006F6B75">
        <w:rPr>
          <w:rFonts w:ascii="Times New Roman" w:hAnsi="Times New Roman" w:cs="Times New Roman"/>
          <w:sz w:val="24"/>
          <w:szCs w:val="24"/>
          <w:shd w:val="clear" w:color="auto" w:fill="FFFFFF"/>
        </w:rPr>
        <w:t>, </w:t>
      </w:r>
      <w:hyperlink r:id="rId326" w:tooltip="Estatuto Tributario CETA" w:history="1">
        <w:r w:rsidRPr="006F6B75">
          <w:rPr>
            <w:rFonts w:ascii="Times New Roman" w:hAnsi="Times New Roman" w:cs="Times New Roman"/>
            <w:sz w:val="24"/>
            <w:szCs w:val="24"/>
            <w:u w:val="single"/>
            <w:shd w:val="clear" w:color="auto" w:fill="FFFFFF"/>
          </w:rPr>
          <w:t>410</w:t>
        </w:r>
      </w:hyperlink>
      <w:r w:rsidRPr="006F6B75">
        <w:rPr>
          <w:rFonts w:ascii="Times New Roman" w:hAnsi="Times New Roman" w:cs="Times New Roman"/>
          <w:sz w:val="24"/>
          <w:szCs w:val="24"/>
          <w:shd w:val="clear" w:color="auto" w:fill="FFFFFF"/>
        </w:rPr>
        <w:t>, </w:t>
      </w:r>
      <w:hyperlink r:id="rId327" w:tooltip="Estatuto Tributario CETA" w:history="1">
        <w:r w:rsidRPr="006F6B75">
          <w:rPr>
            <w:rFonts w:ascii="Times New Roman" w:hAnsi="Times New Roman" w:cs="Times New Roman"/>
            <w:sz w:val="24"/>
            <w:szCs w:val="24"/>
            <w:u w:val="single"/>
            <w:shd w:val="clear" w:color="auto" w:fill="FFFFFF"/>
          </w:rPr>
          <w:t>411</w:t>
        </w:r>
      </w:hyperlink>
      <w:r w:rsidRPr="006F6B75">
        <w:rPr>
          <w:rFonts w:ascii="Times New Roman" w:hAnsi="Times New Roman" w:cs="Times New Roman"/>
          <w:sz w:val="24"/>
          <w:szCs w:val="24"/>
          <w:shd w:val="clear" w:color="auto" w:fill="FFFFFF"/>
        </w:rPr>
        <w:t>, </w:t>
      </w:r>
      <w:hyperlink r:id="rId328" w:tooltip="Estatuto Tributario CETA" w:history="1">
        <w:r w:rsidRPr="006F6B75">
          <w:rPr>
            <w:rFonts w:ascii="Times New Roman" w:hAnsi="Times New Roman" w:cs="Times New Roman"/>
            <w:sz w:val="24"/>
            <w:szCs w:val="24"/>
            <w:u w:val="single"/>
            <w:shd w:val="clear" w:color="auto" w:fill="FFFFFF"/>
          </w:rPr>
          <w:t>430</w:t>
        </w:r>
      </w:hyperlink>
      <w:r w:rsidRPr="006F6B75">
        <w:rPr>
          <w:rFonts w:ascii="Times New Roman" w:hAnsi="Times New Roman" w:cs="Times New Roman"/>
          <w:sz w:val="24"/>
          <w:szCs w:val="24"/>
          <w:shd w:val="clear" w:color="auto" w:fill="FFFFFF"/>
        </w:rPr>
        <w:t>, </w:t>
      </w:r>
      <w:hyperlink r:id="rId329" w:tooltip="Estatuto Tributario CETA" w:history="1">
        <w:r w:rsidRPr="006F6B75">
          <w:rPr>
            <w:rFonts w:ascii="Times New Roman" w:hAnsi="Times New Roman" w:cs="Times New Roman"/>
            <w:sz w:val="24"/>
            <w:szCs w:val="24"/>
            <w:u w:val="single"/>
            <w:shd w:val="clear" w:color="auto" w:fill="FFFFFF"/>
          </w:rPr>
          <w:t>446</w:t>
        </w:r>
      </w:hyperlink>
      <w:r w:rsidRPr="006F6B75">
        <w:rPr>
          <w:rFonts w:ascii="Times New Roman" w:hAnsi="Times New Roman" w:cs="Times New Roman"/>
          <w:sz w:val="24"/>
          <w:szCs w:val="24"/>
          <w:shd w:val="clear" w:color="auto" w:fill="FFFFFF"/>
        </w:rPr>
        <w:t>, el parágrafo primero del </w:t>
      </w:r>
      <w:hyperlink r:id="rId330" w:tooltip="Estatuto Tributario CETA" w:history="1">
        <w:r w:rsidRPr="006F6B75">
          <w:rPr>
            <w:rFonts w:ascii="Times New Roman" w:hAnsi="Times New Roman" w:cs="Times New Roman"/>
            <w:sz w:val="24"/>
            <w:szCs w:val="24"/>
            <w:u w:val="single"/>
            <w:shd w:val="clear" w:color="auto" w:fill="FFFFFF"/>
          </w:rPr>
          <w:t>artículo 468</w:t>
        </w:r>
      </w:hyperlink>
      <w:r w:rsidRPr="006F6B75">
        <w:rPr>
          <w:rFonts w:ascii="Times New Roman" w:hAnsi="Times New Roman" w:cs="Times New Roman"/>
          <w:sz w:val="24"/>
          <w:szCs w:val="24"/>
          <w:shd w:val="clear" w:color="auto" w:fill="FFFFFF"/>
        </w:rPr>
        <w:t>, el numeral 1 del </w:t>
      </w:r>
      <w:hyperlink r:id="rId331" w:tooltip="Estatuto Tributario CETA" w:history="1">
        <w:r w:rsidRPr="006F6B75">
          <w:rPr>
            <w:rFonts w:ascii="Times New Roman" w:hAnsi="Times New Roman" w:cs="Times New Roman"/>
            <w:sz w:val="24"/>
            <w:szCs w:val="24"/>
            <w:u w:val="single"/>
            <w:shd w:val="clear" w:color="auto" w:fill="FFFFFF"/>
          </w:rPr>
          <w:t>artículo 468-1</w:t>
        </w:r>
      </w:hyperlink>
      <w:r w:rsidRPr="006F6B75">
        <w:rPr>
          <w:rFonts w:ascii="Times New Roman" w:hAnsi="Times New Roman" w:cs="Times New Roman"/>
          <w:sz w:val="24"/>
          <w:szCs w:val="24"/>
          <w:shd w:val="clear" w:color="auto" w:fill="FFFFFF"/>
        </w:rPr>
        <w:t>, el numeral 2 del artículo </w:t>
      </w:r>
      <w:hyperlink r:id="rId332" w:tooltip="Estatuto Tributario CETA" w:history="1">
        <w:r w:rsidRPr="006F6B75">
          <w:rPr>
            <w:rFonts w:ascii="Times New Roman" w:hAnsi="Times New Roman" w:cs="Times New Roman"/>
            <w:sz w:val="24"/>
            <w:szCs w:val="24"/>
            <w:u w:val="single"/>
            <w:shd w:val="clear" w:color="auto" w:fill="FFFFFF"/>
          </w:rPr>
          <w:t>477</w:t>
        </w:r>
      </w:hyperlink>
      <w:r w:rsidRPr="006F6B75">
        <w:rPr>
          <w:rFonts w:ascii="Times New Roman" w:hAnsi="Times New Roman" w:cs="Times New Roman"/>
          <w:sz w:val="24"/>
          <w:szCs w:val="24"/>
          <w:shd w:val="clear" w:color="auto" w:fill="FFFFFF"/>
        </w:rPr>
        <w:t>, </w:t>
      </w:r>
      <w:hyperlink r:id="rId333" w:tooltip="Estatuto Tributario CETA" w:history="1">
        <w:r w:rsidRPr="006F6B75">
          <w:rPr>
            <w:rFonts w:ascii="Times New Roman" w:hAnsi="Times New Roman" w:cs="Times New Roman"/>
            <w:sz w:val="24"/>
            <w:szCs w:val="24"/>
            <w:u w:val="single"/>
            <w:shd w:val="clear" w:color="auto" w:fill="FFFFFF"/>
          </w:rPr>
          <w:t>485-1</w:t>
        </w:r>
      </w:hyperlink>
      <w:r w:rsidRPr="006F6B75">
        <w:rPr>
          <w:rFonts w:ascii="Times New Roman" w:hAnsi="Times New Roman" w:cs="Times New Roman"/>
          <w:sz w:val="24"/>
          <w:szCs w:val="24"/>
          <w:shd w:val="clear" w:color="auto" w:fill="FFFFFF"/>
        </w:rPr>
        <w:t>, el parágrafo 1° del artículo </w:t>
      </w:r>
      <w:hyperlink r:id="rId334" w:tooltip="Estatuto Tributario CETA" w:history="1">
        <w:r w:rsidRPr="006F6B75">
          <w:rPr>
            <w:rFonts w:ascii="Times New Roman" w:hAnsi="Times New Roman" w:cs="Times New Roman"/>
            <w:sz w:val="24"/>
            <w:szCs w:val="24"/>
            <w:u w:val="single"/>
            <w:shd w:val="clear" w:color="auto" w:fill="FFFFFF"/>
          </w:rPr>
          <w:t>485-2</w:t>
        </w:r>
      </w:hyperlink>
      <w:r w:rsidRPr="006F6B75">
        <w:rPr>
          <w:rFonts w:ascii="Times New Roman" w:hAnsi="Times New Roman" w:cs="Times New Roman"/>
          <w:sz w:val="24"/>
          <w:szCs w:val="24"/>
          <w:shd w:val="clear" w:color="auto" w:fill="FFFFFF"/>
        </w:rPr>
        <w:t>, </w:t>
      </w:r>
      <w:hyperlink r:id="rId335" w:tooltip="Estatuto Tributario CETA" w:history="1">
        <w:r w:rsidRPr="006F6B75">
          <w:rPr>
            <w:rFonts w:ascii="Times New Roman" w:hAnsi="Times New Roman" w:cs="Times New Roman"/>
            <w:sz w:val="24"/>
            <w:szCs w:val="24"/>
            <w:u w:val="single"/>
            <w:shd w:val="clear" w:color="auto" w:fill="FFFFFF"/>
          </w:rPr>
          <w:t>491</w:t>
        </w:r>
      </w:hyperlink>
      <w:r w:rsidRPr="006F6B75">
        <w:rPr>
          <w:rFonts w:ascii="Times New Roman" w:hAnsi="Times New Roman" w:cs="Times New Roman"/>
          <w:sz w:val="24"/>
          <w:szCs w:val="24"/>
          <w:shd w:val="clear" w:color="auto" w:fill="FFFFFF"/>
        </w:rPr>
        <w:t>, </w:t>
      </w:r>
      <w:hyperlink r:id="rId336" w:tooltip="Estatuto Tributario CETA" w:history="1">
        <w:r w:rsidRPr="006F6B75">
          <w:rPr>
            <w:rFonts w:ascii="Times New Roman" w:hAnsi="Times New Roman" w:cs="Times New Roman"/>
            <w:sz w:val="24"/>
            <w:szCs w:val="24"/>
            <w:u w:val="single"/>
            <w:shd w:val="clear" w:color="auto" w:fill="FFFFFF"/>
          </w:rPr>
          <w:t>499</w:t>
        </w:r>
      </w:hyperlink>
      <w:r w:rsidRPr="006F6B75">
        <w:rPr>
          <w:rFonts w:ascii="Times New Roman" w:hAnsi="Times New Roman" w:cs="Times New Roman"/>
          <w:sz w:val="24"/>
          <w:szCs w:val="24"/>
          <w:shd w:val="clear" w:color="auto" w:fill="FFFFFF"/>
        </w:rPr>
        <w:t>, </w:t>
      </w:r>
      <w:hyperlink r:id="rId337" w:tooltip="Estatuto Tributario CETA" w:history="1">
        <w:r w:rsidRPr="006F6B75">
          <w:rPr>
            <w:rFonts w:ascii="Times New Roman" w:hAnsi="Times New Roman" w:cs="Times New Roman"/>
            <w:sz w:val="24"/>
            <w:szCs w:val="24"/>
            <w:u w:val="single"/>
            <w:shd w:val="clear" w:color="auto" w:fill="FFFFFF"/>
          </w:rPr>
          <w:t>505</w:t>
        </w:r>
      </w:hyperlink>
      <w:r w:rsidRPr="006F6B75">
        <w:rPr>
          <w:rFonts w:ascii="Times New Roman" w:hAnsi="Times New Roman" w:cs="Times New Roman"/>
          <w:sz w:val="24"/>
          <w:szCs w:val="24"/>
          <w:shd w:val="clear" w:color="auto" w:fill="FFFFFF"/>
        </w:rPr>
        <w:t>, </w:t>
      </w:r>
      <w:hyperlink r:id="rId338" w:tooltip="Estatuto Tributario CETA" w:history="1">
        <w:r w:rsidRPr="006F6B75">
          <w:rPr>
            <w:rFonts w:ascii="Times New Roman" w:hAnsi="Times New Roman" w:cs="Times New Roman"/>
            <w:sz w:val="24"/>
            <w:szCs w:val="24"/>
            <w:u w:val="single"/>
            <w:shd w:val="clear" w:color="auto" w:fill="FFFFFF"/>
          </w:rPr>
          <w:t>506</w:t>
        </w:r>
      </w:hyperlink>
      <w:r w:rsidRPr="006F6B75">
        <w:rPr>
          <w:rFonts w:ascii="Times New Roman" w:hAnsi="Times New Roman" w:cs="Times New Roman"/>
          <w:sz w:val="24"/>
          <w:szCs w:val="24"/>
          <w:shd w:val="clear" w:color="auto" w:fill="FFFFFF"/>
        </w:rPr>
        <w:t>, </w:t>
      </w:r>
      <w:hyperlink r:id="rId339" w:tooltip="Estatuto Tributario CETA" w:history="1">
        <w:r w:rsidRPr="006F6B75">
          <w:rPr>
            <w:rFonts w:ascii="Times New Roman" w:hAnsi="Times New Roman" w:cs="Times New Roman"/>
            <w:sz w:val="24"/>
            <w:szCs w:val="24"/>
            <w:u w:val="single"/>
            <w:shd w:val="clear" w:color="auto" w:fill="FFFFFF"/>
          </w:rPr>
          <w:t>507</w:t>
        </w:r>
      </w:hyperlink>
      <w:r w:rsidRPr="006F6B75">
        <w:rPr>
          <w:rFonts w:ascii="Times New Roman" w:hAnsi="Times New Roman" w:cs="Times New Roman"/>
          <w:sz w:val="24"/>
          <w:szCs w:val="24"/>
          <w:shd w:val="clear" w:color="auto" w:fill="FFFFFF"/>
        </w:rPr>
        <w:t>, </w:t>
      </w:r>
      <w:hyperlink r:id="rId340" w:tooltip="Estatuto Tributario CETA" w:history="1">
        <w:r w:rsidRPr="006F6B75">
          <w:rPr>
            <w:rFonts w:ascii="Times New Roman" w:hAnsi="Times New Roman" w:cs="Times New Roman"/>
            <w:sz w:val="24"/>
            <w:szCs w:val="24"/>
            <w:u w:val="single"/>
            <w:shd w:val="clear" w:color="auto" w:fill="FFFFFF"/>
          </w:rPr>
          <w:t>508</w:t>
        </w:r>
      </w:hyperlink>
      <w:r w:rsidRPr="006F6B75">
        <w:rPr>
          <w:rFonts w:ascii="Times New Roman" w:hAnsi="Times New Roman" w:cs="Times New Roman"/>
          <w:sz w:val="24"/>
          <w:szCs w:val="24"/>
          <w:shd w:val="clear" w:color="auto" w:fill="FFFFFF"/>
        </w:rPr>
        <w:t>, la expresión “; así como los servicios de alimentación institucional o alimentación a empresas, prestado bajo contrato (Catering)”, del parágrafo del </w:t>
      </w:r>
      <w:hyperlink r:id="rId341" w:tooltip="Estatuto Tributario CETA" w:history="1">
        <w:r w:rsidRPr="006F6B75">
          <w:rPr>
            <w:rFonts w:ascii="Times New Roman" w:hAnsi="Times New Roman" w:cs="Times New Roman"/>
            <w:sz w:val="24"/>
            <w:szCs w:val="24"/>
            <w:u w:val="single"/>
            <w:shd w:val="clear" w:color="auto" w:fill="FFFFFF"/>
          </w:rPr>
          <w:t>artículo 512-8</w:t>
        </w:r>
      </w:hyperlink>
      <w:r w:rsidRPr="006F6B75">
        <w:rPr>
          <w:rFonts w:ascii="Times New Roman" w:hAnsi="Times New Roman" w:cs="Times New Roman"/>
          <w:sz w:val="24"/>
          <w:szCs w:val="24"/>
          <w:shd w:val="clear" w:color="auto" w:fill="FFFFFF"/>
        </w:rPr>
        <w:t>, el inciso 5° del </w:t>
      </w:r>
      <w:hyperlink r:id="rId342" w:tooltip="Estatuto Tributario CETA" w:history="1">
        <w:r w:rsidRPr="006F6B75">
          <w:rPr>
            <w:rFonts w:ascii="Times New Roman" w:hAnsi="Times New Roman" w:cs="Times New Roman"/>
            <w:sz w:val="24"/>
            <w:szCs w:val="24"/>
            <w:u w:val="single"/>
            <w:shd w:val="clear" w:color="auto" w:fill="FFFFFF"/>
          </w:rPr>
          <w:t>artículo 714</w:t>
        </w:r>
      </w:hyperlink>
      <w:r w:rsidRPr="006F6B75">
        <w:rPr>
          <w:rFonts w:ascii="Times New Roman" w:hAnsi="Times New Roman" w:cs="Times New Roman"/>
          <w:sz w:val="24"/>
          <w:szCs w:val="24"/>
          <w:shd w:val="clear" w:color="auto" w:fill="FFFFFF"/>
        </w:rPr>
        <w:t>, el numeral 3 del </w:t>
      </w:r>
      <w:hyperlink r:id="rId343" w:tooltip="Estatuto Tributario CETA" w:history="1">
        <w:r w:rsidRPr="006F6B75">
          <w:rPr>
            <w:rFonts w:ascii="Times New Roman" w:hAnsi="Times New Roman" w:cs="Times New Roman"/>
            <w:sz w:val="24"/>
            <w:szCs w:val="24"/>
            <w:u w:val="single"/>
            <w:shd w:val="clear" w:color="auto" w:fill="FFFFFF"/>
          </w:rPr>
          <w:t>artículo 730</w:t>
        </w:r>
      </w:hyperlink>
      <w:r w:rsidRPr="006F6B75">
        <w:rPr>
          <w:rFonts w:ascii="Times New Roman" w:hAnsi="Times New Roman" w:cs="Times New Roman"/>
          <w:sz w:val="24"/>
          <w:szCs w:val="24"/>
          <w:shd w:val="clear" w:color="auto" w:fill="FFFFFF"/>
        </w:rPr>
        <w:t> del Estatuto Tributario. A partir del 1° de julio de 2019, deróguese el artículo 312 de la Ley 1819 de 2016.</w:t>
      </w:r>
    </w:p>
    <w:p w:rsidR="00425552" w:rsidRPr="006F6B75" w:rsidRDefault="00425552">
      <w:pPr>
        <w:rPr>
          <w:sz w:val="24"/>
          <w:szCs w:val="24"/>
        </w:rPr>
      </w:pPr>
    </w:p>
    <w:p w:rsidR="00640DD8" w:rsidRPr="006F6B75" w:rsidRDefault="00640DD8">
      <w:pPr>
        <w:rPr>
          <w:sz w:val="24"/>
          <w:szCs w:val="24"/>
        </w:rPr>
      </w:pPr>
    </w:p>
    <w:sectPr w:rsidR="00640DD8" w:rsidRPr="006F6B75" w:rsidSect="007E57DD">
      <w:headerReference w:type="default" r:id="rId344"/>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BD" w:rsidRDefault="000845BD">
      <w:pPr>
        <w:spacing w:after="0" w:line="240" w:lineRule="auto"/>
      </w:pPr>
      <w:r>
        <w:separator/>
      </w:r>
    </w:p>
  </w:endnote>
  <w:endnote w:type="continuationSeparator" w:id="0">
    <w:p w:rsidR="000845BD" w:rsidRDefault="0008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BD" w:rsidRDefault="000845BD">
      <w:pPr>
        <w:spacing w:after="0" w:line="240" w:lineRule="auto"/>
      </w:pPr>
      <w:r>
        <w:separator/>
      </w:r>
    </w:p>
  </w:footnote>
  <w:footnote w:type="continuationSeparator" w:id="0">
    <w:p w:rsidR="000845BD" w:rsidRDefault="0008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680564"/>
      <w:docPartObj>
        <w:docPartGallery w:val="Page Numbers (Top of Page)"/>
        <w:docPartUnique/>
      </w:docPartObj>
    </w:sdtPr>
    <w:sdtEndPr/>
    <w:sdtContent>
      <w:p w:rsidR="002D7B39" w:rsidRDefault="002D7B39">
        <w:pPr>
          <w:pStyle w:val="Encabezado"/>
          <w:jc w:val="right"/>
        </w:pPr>
        <w:r>
          <w:fldChar w:fldCharType="begin"/>
        </w:r>
        <w:r>
          <w:instrText>PAGE   \* MERGEFORMAT</w:instrText>
        </w:r>
        <w:r>
          <w:fldChar w:fldCharType="separate"/>
        </w:r>
        <w:r w:rsidR="00930A6F" w:rsidRPr="00930A6F">
          <w:rPr>
            <w:noProof/>
            <w:lang w:val="es-ES"/>
          </w:rPr>
          <w:t>44</w:t>
        </w:r>
        <w:r>
          <w:fldChar w:fldCharType="end"/>
        </w:r>
      </w:p>
    </w:sdtContent>
  </w:sdt>
  <w:p w:rsidR="002D7B39" w:rsidRDefault="002D7B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42C1"/>
    <w:multiLevelType w:val="hybridMultilevel"/>
    <w:tmpl w:val="8DCEAC0A"/>
    <w:lvl w:ilvl="0" w:tplc="C21AF6AA">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1" w15:restartNumberingAfterBreak="0">
    <w:nsid w:val="56C63F98"/>
    <w:multiLevelType w:val="hybridMultilevel"/>
    <w:tmpl w:val="B786419C"/>
    <w:lvl w:ilvl="0" w:tplc="1B804998">
      <w:start w:val="1"/>
      <w:numFmt w:val="lowerLetter"/>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 w15:restartNumberingAfterBreak="0">
    <w:nsid w:val="6DE25280"/>
    <w:multiLevelType w:val="hybridMultilevel"/>
    <w:tmpl w:val="89EA7822"/>
    <w:lvl w:ilvl="0" w:tplc="773EEEBE">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3" w15:restartNumberingAfterBreak="0">
    <w:nsid w:val="70065BFA"/>
    <w:multiLevelType w:val="hybridMultilevel"/>
    <w:tmpl w:val="06765858"/>
    <w:lvl w:ilvl="0" w:tplc="5A14425A">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98"/>
    <w:rsid w:val="00034BE0"/>
    <w:rsid w:val="000845BD"/>
    <w:rsid w:val="00170994"/>
    <w:rsid w:val="001E05CD"/>
    <w:rsid w:val="002008D1"/>
    <w:rsid w:val="0023324F"/>
    <w:rsid w:val="00296598"/>
    <w:rsid w:val="002D7B39"/>
    <w:rsid w:val="003E3F51"/>
    <w:rsid w:val="003F79AB"/>
    <w:rsid w:val="00425552"/>
    <w:rsid w:val="00451FD5"/>
    <w:rsid w:val="004A678B"/>
    <w:rsid w:val="0064036F"/>
    <w:rsid w:val="00640DD8"/>
    <w:rsid w:val="006A2420"/>
    <w:rsid w:val="006F6B75"/>
    <w:rsid w:val="00797EE2"/>
    <w:rsid w:val="007C3245"/>
    <w:rsid w:val="007E57DD"/>
    <w:rsid w:val="00856621"/>
    <w:rsid w:val="008A79D7"/>
    <w:rsid w:val="00930361"/>
    <w:rsid w:val="00930A6F"/>
    <w:rsid w:val="00A819BF"/>
    <w:rsid w:val="00B03EC9"/>
    <w:rsid w:val="00B61E99"/>
    <w:rsid w:val="00BE7A10"/>
    <w:rsid w:val="00C17B09"/>
    <w:rsid w:val="00C52239"/>
    <w:rsid w:val="00CF780F"/>
    <w:rsid w:val="00D6479F"/>
    <w:rsid w:val="00DC7ACE"/>
    <w:rsid w:val="00E23152"/>
    <w:rsid w:val="00E62915"/>
    <w:rsid w:val="00EC714F"/>
    <w:rsid w:val="00EF6751"/>
    <w:rsid w:val="00F3300C"/>
    <w:rsid w:val="00F666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D8A4-FF03-423B-AEEB-3317219F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96598"/>
  </w:style>
  <w:style w:type="paragraph" w:customStyle="1" w:styleId="ecxmsonormal">
    <w:name w:val="ecxmsonormal"/>
    <w:basedOn w:val="Normal"/>
    <w:rsid w:val="00296598"/>
    <w:pPr>
      <w:spacing w:after="324"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296598"/>
    <w:pPr>
      <w:tabs>
        <w:tab w:val="center" w:pos="4419"/>
        <w:tab w:val="right" w:pos="8838"/>
      </w:tabs>
      <w:spacing w:after="0" w:line="240" w:lineRule="auto"/>
    </w:pPr>
    <w:rPr>
      <w:rFonts w:ascii="Times New Roman" w:hAnsi="Times New Roman"/>
      <w:sz w:val="24"/>
    </w:rPr>
  </w:style>
  <w:style w:type="character" w:customStyle="1" w:styleId="EncabezadoCar">
    <w:name w:val="Encabezado Car"/>
    <w:basedOn w:val="Fuentedeprrafopredeter"/>
    <w:link w:val="Encabezado"/>
    <w:uiPriority w:val="99"/>
    <w:rsid w:val="00296598"/>
    <w:rPr>
      <w:rFonts w:ascii="Times New Roman" w:hAnsi="Times New Roman"/>
      <w:sz w:val="24"/>
    </w:rPr>
  </w:style>
  <w:style w:type="paragraph" w:styleId="Piedepgina">
    <w:name w:val="footer"/>
    <w:basedOn w:val="Normal"/>
    <w:link w:val="PiedepginaCar"/>
    <w:uiPriority w:val="99"/>
    <w:unhideWhenUsed/>
    <w:rsid w:val="00296598"/>
    <w:pPr>
      <w:tabs>
        <w:tab w:val="center" w:pos="4419"/>
        <w:tab w:val="right" w:pos="8838"/>
      </w:tabs>
      <w:spacing w:after="0" w:line="240" w:lineRule="auto"/>
    </w:pPr>
    <w:rPr>
      <w:rFonts w:ascii="Times New Roman" w:hAnsi="Times New Roman"/>
      <w:sz w:val="24"/>
    </w:rPr>
  </w:style>
  <w:style w:type="character" w:customStyle="1" w:styleId="PiedepginaCar">
    <w:name w:val="Pie de página Car"/>
    <w:basedOn w:val="Fuentedeprrafopredeter"/>
    <w:link w:val="Piedepgina"/>
    <w:uiPriority w:val="99"/>
    <w:rsid w:val="00296598"/>
    <w:rPr>
      <w:rFonts w:ascii="Times New Roman" w:hAnsi="Times New Roman"/>
      <w:sz w:val="24"/>
    </w:rPr>
  </w:style>
  <w:style w:type="character" w:customStyle="1" w:styleId="a0">
    <w:name w:val="a0"/>
    <w:basedOn w:val="Fuentedeprrafopredeter"/>
    <w:rsid w:val="00296598"/>
  </w:style>
  <w:style w:type="character" w:styleId="Hipervnculo">
    <w:name w:val="Hyperlink"/>
    <w:basedOn w:val="Fuentedeprrafopredeter"/>
    <w:uiPriority w:val="99"/>
    <w:semiHidden/>
    <w:unhideWhenUsed/>
    <w:rsid w:val="00296598"/>
    <w:rPr>
      <w:color w:val="0000FF"/>
      <w:u w:val="single"/>
    </w:rPr>
  </w:style>
  <w:style w:type="numbering" w:customStyle="1" w:styleId="Sinlista11">
    <w:name w:val="Sin lista11"/>
    <w:next w:val="Sinlista"/>
    <w:uiPriority w:val="99"/>
    <w:semiHidden/>
    <w:unhideWhenUsed/>
    <w:rsid w:val="00296598"/>
  </w:style>
  <w:style w:type="paragraph" w:customStyle="1" w:styleId="msonormal0">
    <w:name w:val="msonormal"/>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296598"/>
    <w:rPr>
      <w:color w:val="800080"/>
      <w:u w:val="single"/>
    </w:rPr>
  </w:style>
  <w:style w:type="paragraph" w:customStyle="1" w:styleId="default">
    <w:name w:val="default"/>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96598"/>
    <w:rPr>
      <w:b/>
      <w:bCs/>
    </w:rPr>
  </w:style>
  <w:style w:type="paragraph" w:customStyle="1" w:styleId="pa21">
    <w:name w:val="pa21"/>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
    <w:name w:val="pa5"/>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2">
    <w:name w:val="pa22"/>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3">
    <w:name w:val="pa23"/>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4">
    <w:name w:val="pa24"/>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5">
    <w:name w:val="pa25"/>
    <w:basedOn w:val="Normal"/>
    <w:rsid w:val="002965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EF6751"/>
    <w:pPr>
      <w:ind w:left="720"/>
      <w:contextualSpacing/>
    </w:pPr>
  </w:style>
  <w:style w:type="paragraph" w:styleId="Textodeglobo">
    <w:name w:val="Balloon Text"/>
    <w:basedOn w:val="Normal"/>
    <w:link w:val="TextodegloboCar"/>
    <w:uiPriority w:val="99"/>
    <w:semiHidden/>
    <w:unhideWhenUsed/>
    <w:rsid w:val="00930A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0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1080" TargetMode="External"/><Relationship Id="rId299" Type="http://schemas.openxmlformats.org/officeDocument/2006/relationships/hyperlink" Target="https://www.ceta.org.co/html/vista_de_un_articulo.asp?Norma=293" TargetMode="External"/><Relationship Id="rId303" Type="http://schemas.openxmlformats.org/officeDocument/2006/relationships/hyperlink" Target="https://www.ceta.org.co/html/vista_de_un_articulo.asp?Norma=333" TargetMode="External"/><Relationship Id="rId21" Type="http://schemas.openxmlformats.org/officeDocument/2006/relationships/hyperlink" Target="https://www.ceta.org.co/html/vista_de_un_articulo.asp?Norma=576" TargetMode="External"/><Relationship Id="rId42" Type="http://schemas.openxmlformats.org/officeDocument/2006/relationships/hyperlink" Target="https://www.ceta.org.co/html/vista_de_un_articulo.asp?Norma=29958" TargetMode="External"/><Relationship Id="rId63" Type="http://schemas.openxmlformats.org/officeDocument/2006/relationships/hyperlink" Target="https://www.ceta.org.co/html/vista_de_un_articulo.asp?Norma=415" TargetMode="External"/><Relationship Id="rId84" Type="http://schemas.openxmlformats.org/officeDocument/2006/relationships/hyperlink" Target="https://www.ceta.org.co/html/vista_de_un_articulo.asp?Norma=252" TargetMode="External"/><Relationship Id="rId138" Type="http://schemas.openxmlformats.org/officeDocument/2006/relationships/hyperlink" Target="https://www.ceta.org.co/html/vista_de_un_articulo.asp?Norma=42493" TargetMode="External"/><Relationship Id="rId159" Type="http://schemas.openxmlformats.org/officeDocument/2006/relationships/hyperlink" Target="https://www.ceta.org.co/html/vista_de_un_articulo.asp?Norma=42481" TargetMode="External"/><Relationship Id="rId324" Type="http://schemas.openxmlformats.org/officeDocument/2006/relationships/hyperlink" Target="https://www.ceta.org.co/html/vista_de_un_articulo.asp?Norma=419" TargetMode="External"/><Relationship Id="rId345" Type="http://schemas.openxmlformats.org/officeDocument/2006/relationships/fontTable" Target="fontTable.xml"/><Relationship Id="rId170" Type="http://schemas.openxmlformats.org/officeDocument/2006/relationships/image" Target="media/image5.png"/><Relationship Id="rId191" Type="http://schemas.openxmlformats.org/officeDocument/2006/relationships/hyperlink" Target="https://www.ceta.org.co/html/vista_de_un_articulo.asp?Norma=33802" TargetMode="External"/><Relationship Id="rId205" Type="http://schemas.openxmlformats.org/officeDocument/2006/relationships/hyperlink" Target="https://www.ceta.org.co/html/vista_de_un_articulo.asp?Norma=10880" TargetMode="External"/><Relationship Id="rId226" Type="http://schemas.openxmlformats.org/officeDocument/2006/relationships/hyperlink" Target="https://www.ceta.org.co/html/vista_de_un_articulo.asp?Norma=334" TargetMode="External"/><Relationship Id="rId247" Type="http://schemas.openxmlformats.org/officeDocument/2006/relationships/hyperlink" Target="https://www.ceta.org.co/html/vista_de_un_articulo.asp?Norma=697" TargetMode="External"/><Relationship Id="rId107" Type="http://schemas.openxmlformats.org/officeDocument/2006/relationships/hyperlink" Target="https://www.ceta.org.co/html/vista_de_un_articulo.asp?Norma=33808" TargetMode="External"/><Relationship Id="rId268" Type="http://schemas.openxmlformats.org/officeDocument/2006/relationships/hyperlink" Target="https://www.ceta.org.co/html/vista_de_un_articulo.asp?Norma=1064" TargetMode="External"/><Relationship Id="rId289" Type="http://schemas.openxmlformats.org/officeDocument/2006/relationships/hyperlink" Target="https://www.ceta.org.co/html/vista_de_un_articulo.asp?Norma=87" TargetMode="External"/><Relationship Id="rId11" Type="http://schemas.openxmlformats.org/officeDocument/2006/relationships/hyperlink" Target="https://www.ceta.org.co/html/vista_de_un_articulo.asp?Norma=29958" TargetMode="External"/><Relationship Id="rId32" Type="http://schemas.openxmlformats.org/officeDocument/2006/relationships/hyperlink" Target="https://www.ceta.org.co/html/vista_de_un_articulo.asp?Norma=611" TargetMode="External"/><Relationship Id="rId53" Type="http://schemas.openxmlformats.org/officeDocument/2006/relationships/hyperlink" Target="https://www.ceta.org.co/html/vista_de_un_articulo.asp?Norma=550" TargetMode="External"/><Relationship Id="rId74" Type="http://schemas.openxmlformats.org/officeDocument/2006/relationships/hyperlink" Target="https://www.ceta.org.co/html/vista_de_un_articulo.asp?Norma=409" TargetMode="External"/><Relationship Id="rId128" Type="http://schemas.openxmlformats.org/officeDocument/2006/relationships/hyperlink" Target="https://www.ceta.org.co/html/vista_de_un_articulo.asp?Norma=134" TargetMode="External"/><Relationship Id="rId149" Type="http://schemas.openxmlformats.org/officeDocument/2006/relationships/hyperlink" Target="https://www.ceta.org.co/html/vista_de_un_articulo.asp?Norma=42504" TargetMode="External"/><Relationship Id="rId314" Type="http://schemas.openxmlformats.org/officeDocument/2006/relationships/hyperlink" Target="https://www.ceta.org.co/html/vista_de_un_articulo.asp?Norma=22820" TargetMode="External"/><Relationship Id="rId335" Type="http://schemas.openxmlformats.org/officeDocument/2006/relationships/hyperlink" Target="https://www.ceta.org.co/html/vista_de_un_articulo.asp?Norma=617" TargetMode="External"/><Relationship Id="rId5" Type="http://schemas.openxmlformats.org/officeDocument/2006/relationships/webSettings" Target="webSettings.xml"/><Relationship Id="rId95" Type="http://schemas.openxmlformats.org/officeDocument/2006/relationships/hyperlink" Target="https://www.ceta.org.co/html/vista_de_un_articulo.asp?Norma=43" TargetMode="External"/><Relationship Id="rId160" Type="http://schemas.openxmlformats.org/officeDocument/2006/relationships/hyperlink" Target="https://www.ceta.org.co/html/vista_de_un_articulo.asp?Norma=42521" TargetMode="External"/><Relationship Id="rId181" Type="http://schemas.openxmlformats.org/officeDocument/2006/relationships/hyperlink" Target="https://www.ceta.org.co/html/vista_de_un_articulo.asp?Norma=550" TargetMode="External"/><Relationship Id="rId216" Type="http://schemas.openxmlformats.org/officeDocument/2006/relationships/hyperlink" Target="https://www.ceta.org.co/html/vista_de_un_articulo.asp?Norma=42483" TargetMode="External"/><Relationship Id="rId237" Type="http://schemas.openxmlformats.org/officeDocument/2006/relationships/hyperlink" Target="https://www.ceta.org.co/html/vista_de_un_articulo.asp?Norma=332" TargetMode="External"/><Relationship Id="rId258" Type="http://schemas.openxmlformats.org/officeDocument/2006/relationships/hyperlink" Target="https://www.ceta.org.co/html/vista_de_un_articulo.asp?Norma=728" TargetMode="External"/><Relationship Id="rId279" Type="http://schemas.openxmlformats.org/officeDocument/2006/relationships/hyperlink" Target="https://www.ceta.org.co/html/vista_de_un_articulo.asp?Norma=879" TargetMode="External"/><Relationship Id="rId22" Type="http://schemas.openxmlformats.org/officeDocument/2006/relationships/hyperlink" Target="https://www.ceta.org.co/html/vista_de_un_articulo.asp?Norma=594" TargetMode="External"/><Relationship Id="rId43" Type="http://schemas.openxmlformats.org/officeDocument/2006/relationships/hyperlink" Target="https://www.ceta.org.co/html/vista_de_un_articulo.asp?Norma=535" TargetMode="External"/><Relationship Id="rId64" Type="http://schemas.openxmlformats.org/officeDocument/2006/relationships/hyperlink" Target="https://www.ceta.org.co/html/vista_de_un_articulo.asp?Norma=312" TargetMode="External"/><Relationship Id="rId118" Type="http://schemas.openxmlformats.org/officeDocument/2006/relationships/hyperlink" Target="https://www.ceta.org.co/html/vista_de_un_articulo.asp?Norma=88" TargetMode="External"/><Relationship Id="rId139" Type="http://schemas.openxmlformats.org/officeDocument/2006/relationships/hyperlink" Target="https://www.ceta.org.co/html/vista_de_un_articulo.asp?Norma=42493" TargetMode="External"/><Relationship Id="rId290" Type="http://schemas.openxmlformats.org/officeDocument/2006/relationships/hyperlink" Target="https://www.ceta.org.co/html/vista_de_un_articulo.asp?Norma=88" TargetMode="External"/><Relationship Id="rId304" Type="http://schemas.openxmlformats.org/officeDocument/2006/relationships/hyperlink" Target="https://www.ceta.org.co/html/vista_de_un_articulo.asp?Norma=369" TargetMode="External"/><Relationship Id="rId325" Type="http://schemas.openxmlformats.org/officeDocument/2006/relationships/hyperlink" Target="https://www.ceta.org.co/html/vista_de_un_articulo.asp?Norma=420" TargetMode="External"/><Relationship Id="rId346" Type="http://schemas.openxmlformats.org/officeDocument/2006/relationships/theme" Target="theme/theme1.xml"/><Relationship Id="rId85" Type="http://schemas.openxmlformats.org/officeDocument/2006/relationships/hyperlink" Target="https://www.ceta.org.co/html/vista_de_un_articulo.asp?Norma=414" TargetMode="External"/><Relationship Id="rId150" Type="http://schemas.openxmlformats.org/officeDocument/2006/relationships/hyperlink" Target="https://www.ceta.org.co/html/vista_de_un_articulo.asp?Norma=29952" TargetMode="External"/><Relationship Id="rId171" Type="http://schemas.openxmlformats.org/officeDocument/2006/relationships/image" Target="media/image6.png"/><Relationship Id="rId192" Type="http://schemas.openxmlformats.org/officeDocument/2006/relationships/hyperlink" Target="https://www.ceta.org.co/html/vista_de_un_articulo.asp?Norma=1080" TargetMode="External"/><Relationship Id="rId206" Type="http://schemas.openxmlformats.org/officeDocument/2006/relationships/hyperlink" Target="https://www.ceta.org.co/html/vista_de_un_articulo.asp?Norma=50" TargetMode="External"/><Relationship Id="rId227" Type="http://schemas.openxmlformats.org/officeDocument/2006/relationships/hyperlink" Target="https://www.ceta.org.co/html/vista_de_un_articulo.asp?Norma=330" TargetMode="External"/><Relationship Id="rId248" Type="http://schemas.openxmlformats.org/officeDocument/2006/relationships/hyperlink" Target="https://www.ceta.org.co/html/vista_de_un_articulo.asp?Norma=699" TargetMode="External"/><Relationship Id="rId269" Type="http://schemas.openxmlformats.org/officeDocument/2006/relationships/hyperlink" Target="https://www.ceta.org.co/html/vista_de_un_articulo.asp?Norma=1023" TargetMode="External"/><Relationship Id="rId12" Type="http://schemas.openxmlformats.org/officeDocument/2006/relationships/hyperlink" Target="https://www.ceta.org.co/html/vista_de_un_articulo.asp?Norma=537" TargetMode="External"/><Relationship Id="rId33" Type="http://schemas.openxmlformats.org/officeDocument/2006/relationships/hyperlink" Target="https://www.ceta.org.co/html/vista_de_un_articulo.asp?Norma=595" TargetMode="External"/><Relationship Id="rId108" Type="http://schemas.openxmlformats.org/officeDocument/2006/relationships/hyperlink" Target="https://www.ceta.org.co/html/vista_de_un_articulo.asp?Norma=33810" TargetMode="External"/><Relationship Id="rId129" Type="http://schemas.openxmlformats.org/officeDocument/2006/relationships/hyperlink" Target="https://www.ceta.org.co/html/vista_de_un_articulo.asp?Norma=134" TargetMode="External"/><Relationship Id="rId280" Type="http://schemas.openxmlformats.org/officeDocument/2006/relationships/hyperlink" Target="https://www.ceta.org.co/html/vista_de_un_articulo.asp?Norma=890" TargetMode="External"/><Relationship Id="rId315" Type="http://schemas.openxmlformats.org/officeDocument/2006/relationships/hyperlink" Target="https://www.ceta.org.co/html/vista_de_un_articulo.asp?Norma=374" TargetMode="External"/><Relationship Id="rId336" Type="http://schemas.openxmlformats.org/officeDocument/2006/relationships/hyperlink" Target="https://www.ceta.org.co/html/vista_de_un_articulo.asp?Norma=625" TargetMode="External"/><Relationship Id="rId54" Type="http://schemas.openxmlformats.org/officeDocument/2006/relationships/hyperlink" Target="https://www.ceta.org.co/html/vista_de_un_articulo.asp?Norma=635" TargetMode="External"/><Relationship Id="rId75" Type="http://schemas.openxmlformats.org/officeDocument/2006/relationships/hyperlink" Target="https://www.ceta.org.co/html/vista_de_un_articulo.asp?Norma=56" TargetMode="External"/><Relationship Id="rId96" Type="http://schemas.openxmlformats.org/officeDocument/2006/relationships/hyperlink" Target="https://www.ceta.org.co/html/vista_de_un_articulo.asp?Norma=33804" TargetMode="External"/><Relationship Id="rId140" Type="http://schemas.openxmlformats.org/officeDocument/2006/relationships/hyperlink" Target="https://www.ceta.org.co/html/vista_de_un_articulo.asp?Norma=52" TargetMode="External"/><Relationship Id="rId161" Type="http://schemas.openxmlformats.org/officeDocument/2006/relationships/hyperlink" Target="https://www.ceta.org.co/html/vista_de_un_articulo.asp?Norma=42521" TargetMode="External"/><Relationship Id="rId182" Type="http://schemas.openxmlformats.org/officeDocument/2006/relationships/hyperlink" Target="https://www.ceta.org.co/html/vista_de_un_articulo.asp?Norma=42523" TargetMode="External"/><Relationship Id="rId217" Type="http://schemas.openxmlformats.org/officeDocument/2006/relationships/hyperlink" Target="https://www.ceta.org.co/html/vista_de_un_articulo.asp?Norma=42483" TargetMode="External"/><Relationship Id="rId6" Type="http://schemas.openxmlformats.org/officeDocument/2006/relationships/footnotes" Target="footnotes.xml"/><Relationship Id="rId238" Type="http://schemas.openxmlformats.org/officeDocument/2006/relationships/hyperlink" Target="https://www.ceta.org.co/html/vista_de_un_articulo.asp?Norma=506" TargetMode="External"/><Relationship Id="rId259" Type="http://schemas.openxmlformats.org/officeDocument/2006/relationships/hyperlink" Target="https://www.ceta.org.co/html/vista_de_un_articulo.asp?Norma=884" TargetMode="External"/><Relationship Id="rId23" Type="http://schemas.openxmlformats.org/officeDocument/2006/relationships/hyperlink" Target="https://www.ceta.org.co/html/vista_de_un_articulo.asp?Norma=594" TargetMode="External"/><Relationship Id="rId119" Type="http://schemas.openxmlformats.org/officeDocument/2006/relationships/hyperlink" Target="https://www.ceta.org.co/html/vista_de_un_articulo.asp?Norma=310" TargetMode="External"/><Relationship Id="rId270" Type="http://schemas.openxmlformats.org/officeDocument/2006/relationships/hyperlink" Target="https://www.ceta.org.co/html/vista_de_un_articulo.asp?Norma=1025" TargetMode="External"/><Relationship Id="rId291" Type="http://schemas.openxmlformats.org/officeDocument/2006/relationships/hyperlink" Target="https://www.ceta.org.co/html/vista_de_un_articulo.asp?Norma=97" TargetMode="External"/><Relationship Id="rId305" Type="http://schemas.openxmlformats.org/officeDocument/2006/relationships/hyperlink" Target="https://www.ceta.org.co/html/vista_de_un_articulo.asp?Norma=22803" TargetMode="External"/><Relationship Id="rId326" Type="http://schemas.openxmlformats.org/officeDocument/2006/relationships/hyperlink" Target="https://www.ceta.org.co/html/vista_de_un_articulo.asp?Norma=508" TargetMode="External"/><Relationship Id="rId44" Type="http://schemas.openxmlformats.org/officeDocument/2006/relationships/hyperlink" Target="https://www.ceta.org.co/html/vista_de_un_articulo.asp?Norma=29965" TargetMode="External"/><Relationship Id="rId65" Type="http://schemas.openxmlformats.org/officeDocument/2006/relationships/hyperlink" Target="https://www.ceta.org.co/html/vista_de_un_articulo.asp?Norma=312" TargetMode="External"/><Relationship Id="rId86" Type="http://schemas.openxmlformats.org/officeDocument/2006/relationships/hyperlink" Target="https://www.ceta.org.co/html/vista_de_un_articulo.asp?Norma=414" TargetMode="External"/><Relationship Id="rId130" Type="http://schemas.openxmlformats.org/officeDocument/2006/relationships/hyperlink" Target="https://www.ceta.org.co/html/vista_de_un_articulo.asp?Norma=29939" TargetMode="External"/><Relationship Id="rId151" Type="http://schemas.openxmlformats.org/officeDocument/2006/relationships/hyperlink" Target="https://www.ceta.org.co/html/vista_de_un_articulo.asp?Norma=42502" TargetMode="External"/><Relationship Id="rId172" Type="http://schemas.openxmlformats.org/officeDocument/2006/relationships/image" Target="media/image7.png"/><Relationship Id="rId193" Type="http://schemas.openxmlformats.org/officeDocument/2006/relationships/hyperlink" Target="https://www.ceta.org.co/html/vista_de_un_articulo.asp?Norma=313" TargetMode="External"/><Relationship Id="rId207" Type="http://schemas.openxmlformats.org/officeDocument/2006/relationships/hyperlink" Target="https://www.ceta.org.co/html/vista_de_un_articulo.asp?Norma=50" TargetMode="External"/><Relationship Id="rId228" Type="http://schemas.openxmlformats.org/officeDocument/2006/relationships/hyperlink" Target="https://www.ceta.org.co/html/vista_de_un_articulo.asp?Norma=330" TargetMode="External"/><Relationship Id="rId249" Type="http://schemas.openxmlformats.org/officeDocument/2006/relationships/hyperlink" Target="https://www.ceta.org.co/html/vista_de_un_articulo.asp?Norma=16035" TargetMode="External"/><Relationship Id="rId13" Type="http://schemas.openxmlformats.org/officeDocument/2006/relationships/hyperlink" Target="https://www.ceta.org.co/html/vista_de_un_articulo.asp?Norma=548" TargetMode="External"/><Relationship Id="rId109" Type="http://schemas.openxmlformats.org/officeDocument/2006/relationships/hyperlink" Target="https://www.ceta.org.co/html/vista_de_un_articulo.asp?Norma=33810" TargetMode="External"/><Relationship Id="rId260" Type="http://schemas.openxmlformats.org/officeDocument/2006/relationships/hyperlink" Target="https://www.ceta.org.co/html/vista_de_un_articulo.asp?Norma=889" TargetMode="External"/><Relationship Id="rId281" Type="http://schemas.openxmlformats.org/officeDocument/2006/relationships/hyperlink" Target="https://www.ceta.org.co/html/vista_de_un_articulo.asp?Norma=42481" TargetMode="External"/><Relationship Id="rId316" Type="http://schemas.openxmlformats.org/officeDocument/2006/relationships/hyperlink" Target="https://www.ceta.org.co/html/vista_de_un_articulo.asp?Norma=22821" TargetMode="External"/><Relationship Id="rId337" Type="http://schemas.openxmlformats.org/officeDocument/2006/relationships/hyperlink" Target="https://www.ceta.org.co/html/vista_de_un_articulo.asp?Norma=631" TargetMode="External"/><Relationship Id="rId34" Type="http://schemas.openxmlformats.org/officeDocument/2006/relationships/hyperlink" Target="https://www.ceta.org.co/html/vista_de_un_articulo.asp?Norma=635" TargetMode="External"/><Relationship Id="rId55" Type="http://schemas.openxmlformats.org/officeDocument/2006/relationships/hyperlink" Target="https://www.ceta.org.co/html/vista_de_un_articulo.asp?Norma=57" TargetMode="External"/><Relationship Id="rId76" Type="http://schemas.openxmlformats.org/officeDocument/2006/relationships/hyperlink" Target="https://www.ceta.org.co/html/vista_de_un_articulo.asp?Norma=410" TargetMode="External"/><Relationship Id="rId97" Type="http://schemas.openxmlformats.org/officeDocument/2006/relationships/hyperlink" Target="https://www.ceta.org.co/html/vista_de_un_articulo.asp?Norma=33804" TargetMode="External"/><Relationship Id="rId120" Type="http://schemas.openxmlformats.org/officeDocument/2006/relationships/hyperlink" Target="https://www.ceta.org.co/html/vista_de_un_articulo.asp?Norma=316" TargetMode="External"/><Relationship Id="rId141" Type="http://schemas.openxmlformats.org/officeDocument/2006/relationships/hyperlink" Target="https://www.ceta.org.co/html/vista_de_un_articulo.asp?Norma=52" TargetMode="External"/><Relationship Id="rId7" Type="http://schemas.openxmlformats.org/officeDocument/2006/relationships/endnotes" Target="endnotes.xml"/><Relationship Id="rId162" Type="http://schemas.openxmlformats.org/officeDocument/2006/relationships/hyperlink" Target="https://www.ceta.org.co/html/vista_de_un_articulo.asp?Norma=42515" TargetMode="External"/><Relationship Id="rId183" Type="http://schemas.openxmlformats.org/officeDocument/2006/relationships/hyperlink" Target="https://www.ceta.org.co/html/vista_de_un_articulo.asp?Norma=42524" TargetMode="External"/><Relationship Id="rId218" Type="http://schemas.openxmlformats.org/officeDocument/2006/relationships/hyperlink" Target="https://www.ceta.org.co/html/vista_de_un_articulo.asp?Norma=272" TargetMode="External"/><Relationship Id="rId239" Type="http://schemas.openxmlformats.org/officeDocument/2006/relationships/hyperlink" Target="https://www.ceta.org.co/html/vista_de_un_articulo.asp?Norma=506" TargetMode="External"/><Relationship Id="rId250" Type="http://schemas.openxmlformats.org/officeDocument/2006/relationships/hyperlink" Target="https://www.ceta.org.co/html/vista_de_un_articulo.asp?Norma=16035" TargetMode="External"/><Relationship Id="rId271" Type="http://schemas.openxmlformats.org/officeDocument/2006/relationships/hyperlink" Target="https://www.ceta.org.co/html/vista_de_un_articulo.asp?Norma=1023" TargetMode="External"/><Relationship Id="rId292" Type="http://schemas.openxmlformats.org/officeDocument/2006/relationships/hyperlink" Target="https://www.ceta.org.co/html/vista_de_un_articulo.asp?Norma=123" TargetMode="External"/><Relationship Id="rId306" Type="http://schemas.openxmlformats.org/officeDocument/2006/relationships/hyperlink" Target="https://www.ceta.org.co/html/vista_de_un_articulo.asp?Norma=370" TargetMode="External"/><Relationship Id="rId24" Type="http://schemas.openxmlformats.org/officeDocument/2006/relationships/hyperlink" Target="https://www.ceta.org.co/html/vista_de_un_articulo.asp?Norma=595" TargetMode="External"/><Relationship Id="rId45" Type="http://schemas.openxmlformats.org/officeDocument/2006/relationships/hyperlink" Target="https://www.ceta.org.co/html/vista_de_un_articulo.asp?Norma=29966" TargetMode="External"/><Relationship Id="rId66" Type="http://schemas.openxmlformats.org/officeDocument/2006/relationships/image" Target="media/image1.png"/><Relationship Id="rId87" Type="http://schemas.openxmlformats.org/officeDocument/2006/relationships/hyperlink" Target="https://www.ceta.org.co/html/vista_de_un_articulo.asp?Norma=151" TargetMode="External"/><Relationship Id="rId110" Type="http://schemas.openxmlformats.org/officeDocument/2006/relationships/hyperlink" Target="https://www.ceta.org.co/html/vista_de_un_articulo.asp?Norma=33802" TargetMode="External"/><Relationship Id="rId131" Type="http://schemas.openxmlformats.org/officeDocument/2006/relationships/hyperlink" Target="https://www.ceta.org.co/html/vista_de_un_articulo.asp?Norma=29939" TargetMode="External"/><Relationship Id="rId327" Type="http://schemas.openxmlformats.org/officeDocument/2006/relationships/hyperlink" Target="https://www.ceta.org.co/html/vista_de_un_articulo.asp?Norma=509" TargetMode="External"/><Relationship Id="rId152" Type="http://schemas.openxmlformats.org/officeDocument/2006/relationships/hyperlink" Target="https://www.ceta.org.co/html/vista_de_un_articulo.asp?Norma=42502" TargetMode="External"/><Relationship Id="rId173" Type="http://schemas.openxmlformats.org/officeDocument/2006/relationships/image" Target="media/image8.png"/><Relationship Id="rId194" Type="http://schemas.openxmlformats.org/officeDocument/2006/relationships/hyperlink" Target="https://www.ceta.org.co/html/vista_de_un_articulo.asp?Norma=55" TargetMode="External"/><Relationship Id="rId208" Type="http://schemas.openxmlformats.org/officeDocument/2006/relationships/hyperlink" Target="https://www.ceta.org.co/html/vista_de_un_articulo.asp?Norma=738" TargetMode="External"/><Relationship Id="rId229" Type="http://schemas.openxmlformats.org/officeDocument/2006/relationships/hyperlink" Target="https://www.ceta.org.co/html/vista_de_un_articulo.asp?Norma=331" TargetMode="External"/><Relationship Id="rId240" Type="http://schemas.openxmlformats.org/officeDocument/2006/relationships/hyperlink" Target="https://www.ceta.org.co/html/vista_de_un_articulo.asp?Norma=175" TargetMode="External"/><Relationship Id="rId261" Type="http://schemas.openxmlformats.org/officeDocument/2006/relationships/hyperlink" Target="https://www.ceta.org.co/html/vista_de_un_articulo.asp?Norma=788" TargetMode="External"/><Relationship Id="rId14" Type="http://schemas.openxmlformats.org/officeDocument/2006/relationships/hyperlink" Target="https://www.ceta.org.co/html/vista_de_un_articulo.asp?Norma=1080" TargetMode="External"/><Relationship Id="rId35" Type="http://schemas.openxmlformats.org/officeDocument/2006/relationships/hyperlink" Target="https://www.ceta.org.co/html/vista_de_un_articulo.asp?Norma=635" TargetMode="External"/><Relationship Id="rId56" Type="http://schemas.openxmlformats.org/officeDocument/2006/relationships/hyperlink" Target="https://www.ceta.org.co/html/vista_de_un_articulo.asp?Norma=272" TargetMode="External"/><Relationship Id="rId77" Type="http://schemas.openxmlformats.org/officeDocument/2006/relationships/hyperlink" Target="https://www.ceta.org.co/html/vista_de_un_articulo.asp?Norma=410" TargetMode="External"/><Relationship Id="rId100" Type="http://schemas.openxmlformats.org/officeDocument/2006/relationships/hyperlink" Target="https://www.ceta.org.co/html/vista_de_un_articulo.asp?Norma=29937" TargetMode="External"/><Relationship Id="rId282" Type="http://schemas.openxmlformats.org/officeDocument/2006/relationships/hyperlink" Target="https://www.ceta.org.co/html/vista_de_un_articulo.asp?Norma=44" TargetMode="External"/><Relationship Id="rId317" Type="http://schemas.openxmlformats.org/officeDocument/2006/relationships/hyperlink" Target="https://www.ceta.org.co/html/vista_de_un_articulo.asp?Norma=12017" TargetMode="External"/><Relationship Id="rId338" Type="http://schemas.openxmlformats.org/officeDocument/2006/relationships/hyperlink" Target="https://www.ceta.org.co/html/vista_de_un_articulo.asp?Norma=632" TargetMode="External"/><Relationship Id="rId8" Type="http://schemas.openxmlformats.org/officeDocument/2006/relationships/hyperlink" Target="https://www.ceta.org.co/html/vista_de_un_articulo.asp?Norma=526" TargetMode="External"/><Relationship Id="rId98" Type="http://schemas.openxmlformats.org/officeDocument/2006/relationships/hyperlink" Target="https://www.ceta.org.co/html/vista_de_un_articulo.asp?Norma=33805" TargetMode="External"/><Relationship Id="rId121" Type="http://schemas.openxmlformats.org/officeDocument/2006/relationships/hyperlink" Target="https://www.ceta.org.co/html/vista_de_un_articulo.asp?Norma=316" TargetMode="External"/><Relationship Id="rId142" Type="http://schemas.openxmlformats.org/officeDocument/2006/relationships/hyperlink" Target="https://www.ceta.org.co/html/vista_de_un_articulo.asp?Norma=460" TargetMode="External"/><Relationship Id="rId163" Type="http://schemas.openxmlformats.org/officeDocument/2006/relationships/hyperlink" Target="https://www.ceta.org.co/html/vista_de_un_articulo.asp?Norma=42516" TargetMode="External"/><Relationship Id="rId184" Type="http://schemas.openxmlformats.org/officeDocument/2006/relationships/hyperlink" Target="https://www.ceta.org.co/html/vista_de_un_articulo.asp?Norma=42525" TargetMode="External"/><Relationship Id="rId219" Type="http://schemas.openxmlformats.org/officeDocument/2006/relationships/hyperlink" Target="https://www.ceta.org.co/html/vista_de_un_articulo.asp?Norma=56" TargetMode="External"/><Relationship Id="rId230" Type="http://schemas.openxmlformats.org/officeDocument/2006/relationships/hyperlink" Target="https://www.ceta.org.co/html/vista_de_un_articulo.asp?Norma=332" TargetMode="External"/><Relationship Id="rId251" Type="http://schemas.openxmlformats.org/officeDocument/2006/relationships/hyperlink" Target="https://www.ceta.org.co/html/vista_de_un_articulo.asp?Norma=699" TargetMode="External"/><Relationship Id="rId25" Type="http://schemas.openxmlformats.org/officeDocument/2006/relationships/hyperlink" Target="https://www.ceta.org.co/html/vista_de_un_articulo.asp?Norma=595" TargetMode="External"/><Relationship Id="rId46" Type="http://schemas.openxmlformats.org/officeDocument/2006/relationships/hyperlink" Target="https://www.ceta.org.co/html/vista_de_un_articulo.asp?Norma=29967" TargetMode="External"/><Relationship Id="rId67" Type="http://schemas.openxmlformats.org/officeDocument/2006/relationships/hyperlink" Target="https://www.ceta.org.co/html/vista_de_un_articulo.asp?Norma=313" TargetMode="External"/><Relationship Id="rId116" Type="http://schemas.openxmlformats.org/officeDocument/2006/relationships/hyperlink" Target="https://www.ceta.org.co/html/vista_de_un_articulo.asp?Norma=12016" TargetMode="External"/><Relationship Id="rId137" Type="http://schemas.openxmlformats.org/officeDocument/2006/relationships/hyperlink" Target="https://www.ceta.org.co/html/vista_de_un_articulo.asp?Norma=29937" TargetMode="External"/><Relationship Id="rId158" Type="http://schemas.openxmlformats.org/officeDocument/2006/relationships/hyperlink" Target="https://www.ceta.org.co/html/vista_de_un_articulo.asp?Norma=42514" TargetMode="External"/><Relationship Id="rId272" Type="http://schemas.openxmlformats.org/officeDocument/2006/relationships/hyperlink" Target="https://www.ceta.org.co/html/vista_de_un_articulo.asp?Norma=1025" TargetMode="External"/><Relationship Id="rId293" Type="http://schemas.openxmlformats.org/officeDocument/2006/relationships/hyperlink" Target="https://www.ceta.org.co/html/vista_de_un_articulo.asp?Norma=124" TargetMode="External"/><Relationship Id="rId302" Type="http://schemas.openxmlformats.org/officeDocument/2006/relationships/hyperlink" Target="https://www.ceta.org.co/html/vista_de_un_articulo.asp?Norma=310" TargetMode="External"/><Relationship Id="rId307" Type="http://schemas.openxmlformats.org/officeDocument/2006/relationships/hyperlink" Target="https://www.ceta.org.co/html/vista_de_un_articulo.asp?Norma=22816" TargetMode="External"/><Relationship Id="rId323" Type="http://schemas.openxmlformats.org/officeDocument/2006/relationships/hyperlink" Target="https://www.ceta.org.co/html/vista_de_un_articulo.asp?Norma=418" TargetMode="External"/><Relationship Id="rId328" Type="http://schemas.openxmlformats.org/officeDocument/2006/relationships/hyperlink" Target="https://www.ceta.org.co/html/vista_de_un_articulo.asp?Norma=541" TargetMode="External"/><Relationship Id="rId344" Type="http://schemas.openxmlformats.org/officeDocument/2006/relationships/header" Target="header1.xml"/><Relationship Id="rId20" Type="http://schemas.openxmlformats.org/officeDocument/2006/relationships/hyperlink" Target="https://www.ceta.org.co/html/vista_de_un_articulo.asp?Norma=521" TargetMode="External"/><Relationship Id="rId41" Type="http://schemas.openxmlformats.org/officeDocument/2006/relationships/hyperlink" Target="https://www.ceta.org.co/html/vista_de_un_articulo.asp?Norma=42545" TargetMode="External"/><Relationship Id="rId62" Type="http://schemas.openxmlformats.org/officeDocument/2006/relationships/hyperlink" Target="https://www.ceta.org.co/html/vista_de_un_articulo.asp?Norma=29941" TargetMode="External"/><Relationship Id="rId83" Type="http://schemas.openxmlformats.org/officeDocument/2006/relationships/hyperlink" Target="https://www.ceta.org.co/html/vista_de_un_articulo.asp?Norma=412" TargetMode="External"/><Relationship Id="rId88" Type="http://schemas.openxmlformats.org/officeDocument/2006/relationships/hyperlink" Target="https://www.ceta.org.co/html/vista_de_un_articulo.asp?Norma=415" TargetMode="External"/><Relationship Id="rId111" Type="http://schemas.openxmlformats.org/officeDocument/2006/relationships/hyperlink" Target="https://www.ceta.org.co/html/vista_de_un_articulo.asp?Norma=375" TargetMode="External"/><Relationship Id="rId132" Type="http://schemas.openxmlformats.org/officeDocument/2006/relationships/hyperlink" Target="https://www.ceta.org.co/html/vista_de_un_articulo.asp?Norma=10880" TargetMode="External"/><Relationship Id="rId153" Type="http://schemas.openxmlformats.org/officeDocument/2006/relationships/hyperlink" Target="https://www.ceta.org.co/html/vista_de_un_articulo.asp?Norma=42504" TargetMode="External"/><Relationship Id="rId174" Type="http://schemas.openxmlformats.org/officeDocument/2006/relationships/image" Target="media/image9.png"/><Relationship Id="rId179" Type="http://schemas.openxmlformats.org/officeDocument/2006/relationships/hyperlink" Target="https://www.ceta.org.co/html/vista_de_un_articulo.asp?Norma=42519" TargetMode="External"/><Relationship Id="rId195" Type="http://schemas.openxmlformats.org/officeDocument/2006/relationships/hyperlink" Target="https://www.ceta.org.co/html/vista_de_un_articulo.asp?Norma=10886" TargetMode="External"/><Relationship Id="rId209" Type="http://schemas.openxmlformats.org/officeDocument/2006/relationships/hyperlink" Target="https://www.ceta.org.co/html/vista_de_un_articulo.asp?Norma=55" TargetMode="External"/><Relationship Id="rId190" Type="http://schemas.openxmlformats.org/officeDocument/2006/relationships/hyperlink" Target="https://www.ceta.org.co/html/vista_de_un_articulo.asp?Norma=88" TargetMode="External"/><Relationship Id="rId204" Type="http://schemas.openxmlformats.org/officeDocument/2006/relationships/hyperlink" Target="https://www.ceta.org.co/html/vista_de_un_articulo.asp?Norma=88" TargetMode="External"/><Relationship Id="rId220" Type="http://schemas.openxmlformats.org/officeDocument/2006/relationships/hyperlink" Target="https://www.ceta.org.co/html/vista_de_un_articulo.asp?Norma=310" TargetMode="External"/><Relationship Id="rId225" Type="http://schemas.openxmlformats.org/officeDocument/2006/relationships/hyperlink" Target="https://www.ceta.org.co/html/vista_de_un_articulo.asp?Norma=327" TargetMode="External"/><Relationship Id="rId241" Type="http://schemas.openxmlformats.org/officeDocument/2006/relationships/hyperlink" Target="https://www.ceta.org.co/html/vista_de_un_articulo.asp?Norma=55" TargetMode="External"/><Relationship Id="rId246" Type="http://schemas.openxmlformats.org/officeDocument/2006/relationships/hyperlink" Target="https://www.ceta.org.co/html/vista_de_un_articulo.asp?Norma=695" TargetMode="External"/><Relationship Id="rId267" Type="http://schemas.openxmlformats.org/officeDocument/2006/relationships/hyperlink" Target="https://www.ceta.org.co/html/vista_de_un_articulo.asp?Norma=1004" TargetMode="External"/><Relationship Id="rId288" Type="http://schemas.openxmlformats.org/officeDocument/2006/relationships/hyperlink" Target="https://www.ceta.org.co/html/vista_de_un_articulo.asp?Norma=77" TargetMode="External"/><Relationship Id="rId15" Type="http://schemas.openxmlformats.org/officeDocument/2006/relationships/hyperlink" Target="https://www.ceta.org.co/html/vista_de_un_articulo.asp?Norma=549" TargetMode="External"/><Relationship Id="rId36" Type="http://schemas.openxmlformats.org/officeDocument/2006/relationships/hyperlink" Target="https://www.ceta.org.co/html/vista_de_un_articulo.asp?Norma=636" TargetMode="External"/><Relationship Id="rId57" Type="http://schemas.openxmlformats.org/officeDocument/2006/relationships/hyperlink" Target="https://www.ceta.org.co/html/vista_de_un_articulo.asp?Norma=94" TargetMode="External"/><Relationship Id="rId106" Type="http://schemas.openxmlformats.org/officeDocument/2006/relationships/hyperlink" Target="https://www.ceta.org.co/html/vista_de_un_articulo.asp?Norma=33808" TargetMode="External"/><Relationship Id="rId127" Type="http://schemas.openxmlformats.org/officeDocument/2006/relationships/hyperlink" Target="https://www.ceta.org.co/html/vista_de_un_articulo.asp?Norma=310" TargetMode="External"/><Relationship Id="rId262" Type="http://schemas.openxmlformats.org/officeDocument/2006/relationships/hyperlink" Target="https://www.ceta.org.co/html/vista_de_un_articulo.asp?Norma=42546" TargetMode="External"/><Relationship Id="rId283" Type="http://schemas.openxmlformats.org/officeDocument/2006/relationships/hyperlink" Target="https://www.ceta.org.co/html/vista_de_un_articulo.asp?Norma=26863" TargetMode="External"/><Relationship Id="rId313" Type="http://schemas.openxmlformats.org/officeDocument/2006/relationships/hyperlink" Target="https://www.ceta.org.co/html/vista_de_un_articulo.asp?Norma=373" TargetMode="External"/><Relationship Id="rId318" Type="http://schemas.openxmlformats.org/officeDocument/2006/relationships/hyperlink" Target="https://www.ceta.org.co/html/vista_de_un_articulo.asp?Norma=22822" TargetMode="External"/><Relationship Id="rId339" Type="http://schemas.openxmlformats.org/officeDocument/2006/relationships/hyperlink" Target="https://www.ceta.org.co/html/vista_de_un_articulo.asp?Norma=633" TargetMode="External"/><Relationship Id="rId10" Type="http://schemas.openxmlformats.org/officeDocument/2006/relationships/hyperlink" Target="https://www.ceta.org.co/html/vista_de_un_articulo.asp?Norma=535" TargetMode="External"/><Relationship Id="rId31" Type="http://schemas.openxmlformats.org/officeDocument/2006/relationships/hyperlink" Target="https://www.ceta.org.co/html/vista_de_un_articulo.asp?Norma=611" TargetMode="External"/><Relationship Id="rId52" Type="http://schemas.openxmlformats.org/officeDocument/2006/relationships/hyperlink" Target="https://www.ceta.org.co/html/vista_de_un_articulo.asp?Norma=29958" TargetMode="External"/><Relationship Id="rId73" Type="http://schemas.openxmlformats.org/officeDocument/2006/relationships/hyperlink" Target="https://www.ceta.org.co/html/vista_de_un_articulo.asp?Norma=409" TargetMode="External"/><Relationship Id="rId78" Type="http://schemas.openxmlformats.org/officeDocument/2006/relationships/hyperlink" Target="https://www.ceta.org.co/html/vista_de_un_articulo.asp?Norma=312" TargetMode="External"/><Relationship Id="rId94" Type="http://schemas.openxmlformats.org/officeDocument/2006/relationships/hyperlink" Target="https://www.ceta.org.co/html/vista_de_un_articulo.asp?Norma=33802" TargetMode="External"/><Relationship Id="rId99" Type="http://schemas.openxmlformats.org/officeDocument/2006/relationships/hyperlink" Target="https://www.ceta.org.co/html/vista_de_un_articulo.asp?Norma=33805" TargetMode="External"/><Relationship Id="rId101" Type="http://schemas.openxmlformats.org/officeDocument/2006/relationships/hyperlink" Target="https://www.ceta.org.co/html/vista_de_un_articulo.asp?Norma=33806" TargetMode="External"/><Relationship Id="rId122" Type="http://schemas.openxmlformats.org/officeDocument/2006/relationships/hyperlink" Target="https://www.ceta.org.co/html/vista_de_un_articulo.asp?Norma=87" TargetMode="External"/><Relationship Id="rId143" Type="http://schemas.openxmlformats.org/officeDocument/2006/relationships/hyperlink" Target="https://www.ceta.org.co/html/vista_de_un_articulo.asp?Norma=460" TargetMode="External"/><Relationship Id="rId148" Type="http://schemas.openxmlformats.org/officeDocument/2006/relationships/hyperlink" Target="https://www.ceta.org.co/html/vista_de_un_articulo.asp?Norma=42510" TargetMode="External"/><Relationship Id="rId164" Type="http://schemas.openxmlformats.org/officeDocument/2006/relationships/hyperlink" Target="https://www.ceta.org.co/html/vista_de_un_articulo.asp?Norma=42517" TargetMode="External"/><Relationship Id="rId169" Type="http://schemas.openxmlformats.org/officeDocument/2006/relationships/image" Target="media/image4.png"/><Relationship Id="rId185" Type="http://schemas.openxmlformats.org/officeDocument/2006/relationships/hyperlink" Target="https://www.ceta.org.co/html/vista_de_un_articulo.asp?Norma=42526" TargetMode="External"/><Relationship Id="rId334" Type="http://schemas.openxmlformats.org/officeDocument/2006/relationships/hyperlink" Target="https://www.ceta.org.co/html/vista_de_un_articulo.asp?Norma=10895" TargetMode="External"/><Relationship Id="rId4" Type="http://schemas.openxmlformats.org/officeDocument/2006/relationships/settings" Target="settings.xml"/><Relationship Id="rId9" Type="http://schemas.openxmlformats.org/officeDocument/2006/relationships/hyperlink" Target="https://www.ceta.org.co/html/vista_de_un_articulo.asp?Norma=535" TargetMode="External"/><Relationship Id="rId180" Type="http://schemas.openxmlformats.org/officeDocument/2006/relationships/hyperlink" Target="https://www.ceta.org.co/html/vista_de_un_articulo.asp?Norma=42522" TargetMode="External"/><Relationship Id="rId210" Type="http://schemas.openxmlformats.org/officeDocument/2006/relationships/hyperlink" Target="https://www.ceta.org.co/html/vista_de_un_articulo.asp?Norma=55" TargetMode="External"/><Relationship Id="rId215" Type="http://schemas.openxmlformats.org/officeDocument/2006/relationships/hyperlink" Target="https://www.ceta.org.co/html/vista_de_un_articulo.asp?Norma=252" TargetMode="External"/><Relationship Id="rId236" Type="http://schemas.openxmlformats.org/officeDocument/2006/relationships/hyperlink" Target="https://www.ceta.org.co/html/vista_de_un_articulo.asp?Norma=330" TargetMode="External"/><Relationship Id="rId257" Type="http://schemas.openxmlformats.org/officeDocument/2006/relationships/hyperlink" Target="https://www.ceta.org.co/html/vista_de_un_articulo.asp?Norma=702" TargetMode="External"/><Relationship Id="rId278" Type="http://schemas.openxmlformats.org/officeDocument/2006/relationships/hyperlink" Target="https://www.ceta.org.co/html/vista_de_un_articulo.asp?Norma=1078" TargetMode="External"/><Relationship Id="rId26" Type="http://schemas.openxmlformats.org/officeDocument/2006/relationships/hyperlink" Target="https://www.ceta.org.co/html/vista_de_un_articulo.asp?Norma=562" TargetMode="External"/><Relationship Id="rId231" Type="http://schemas.openxmlformats.org/officeDocument/2006/relationships/hyperlink" Target="https://www.ceta.org.co/html/vista_de_un_articulo.asp?Norma=332" TargetMode="External"/><Relationship Id="rId252" Type="http://schemas.openxmlformats.org/officeDocument/2006/relationships/hyperlink" Target="https://www.ceta.org.co/html/vista_de_un_articulo.asp?Norma=697" TargetMode="External"/><Relationship Id="rId273" Type="http://schemas.openxmlformats.org/officeDocument/2006/relationships/hyperlink" Target="https://www.ceta.org.co/html/vista_de_un_articulo.asp?Norma=725" TargetMode="External"/><Relationship Id="rId294" Type="http://schemas.openxmlformats.org/officeDocument/2006/relationships/hyperlink" Target="https://www.ceta.org.co/html/vista_de_un_articulo.asp?Norma=42482" TargetMode="External"/><Relationship Id="rId308" Type="http://schemas.openxmlformats.org/officeDocument/2006/relationships/hyperlink" Target="https://www.ceta.org.co/html/vista_de_un_articulo.asp?Norma=33803" TargetMode="External"/><Relationship Id="rId329" Type="http://schemas.openxmlformats.org/officeDocument/2006/relationships/hyperlink" Target="https://www.ceta.org.co/html/vista_de_un_articulo.asp?Norma=561" TargetMode="External"/><Relationship Id="rId47" Type="http://schemas.openxmlformats.org/officeDocument/2006/relationships/hyperlink" Target="https://www.ceta.org.co/html/vista_de_un_articulo.asp?Norma=29968" TargetMode="External"/><Relationship Id="rId68" Type="http://schemas.openxmlformats.org/officeDocument/2006/relationships/hyperlink" Target="https://www.ceta.org.co/html/vista_de_un_articulo.asp?Norma=313" TargetMode="External"/><Relationship Id="rId89" Type="http://schemas.openxmlformats.org/officeDocument/2006/relationships/hyperlink" Target="https://www.ceta.org.co/html/vista_de_un_articulo.asp?Norma=415" TargetMode="External"/><Relationship Id="rId112" Type="http://schemas.openxmlformats.org/officeDocument/2006/relationships/hyperlink" Target="https://www.ceta.org.co/html/vista_de_un_articulo.asp?Norma=12015" TargetMode="External"/><Relationship Id="rId133" Type="http://schemas.openxmlformats.org/officeDocument/2006/relationships/hyperlink" Target="https://www.ceta.org.co/html/vista_de_un_articulo.asp?Norma=176" TargetMode="External"/><Relationship Id="rId154" Type="http://schemas.openxmlformats.org/officeDocument/2006/relationships/hyperlink" Target="https://www.ceta.org.co/html/vista_de_un_articulo.asp?Norma=982" TargetMode="External"/><Relationship Id="rId175" Type="http://schemas.openxmlformats.org/officeDocument/2006/relationships/image" Target="media/image10.png"/><Relationship Id="rId340" Type="http://schemas.openxmlformats.org/officeDocument/2006/relationships/hyperlink" Target="https://www.ceta.org.co/html/vista_de_un_articulo.asp?Norma=634" TargetMode="External"/><Relationship Id="rId196" Type="http://schemas.openxmlformats.org/officeDocument/2006/relationships/hyperlink" Target="https://www.ceta.org.co/html/vista_de_un_articulo.asp?Norma=55" TargetMode="External"/><Relationship Id="rId200" Type="http://schemas.openxmlformats.org/officeDocument/2006/relationships/hyperlink" Target="https://www.ceta.org.co/html/vista_de_un_articulo.asp?Norma=332" TargetMode="External"/><Relationship Id="rId16" Type="http://schemas.openxmlformats.org/officeDocument/2006/relationships/hyperlink" Target="https://www.ceta.org.co/html/vista_de_un_articulo.asp?Norma=550" TargetMode="External"/><Relationship Id="rId221" Type="http://schemas.openxmlformats.org/officeDocument/2006/relationships/hyperlink" Target="https://www.ceta.org.co/html/vista_de_un_articulo.asp?Norma=310" TargetMode="External"/><Relationship Id="rId242" Type="http://schemas.openxmlformats.org/officeDocument/2006/relationships/hyperlink" Target="https://www.ceta.org.co/html/vista_de_un_articulo.asp?Norma=1090" TargetMode="External"/><Relationship Id="rId263" Type="http://schemas.openxmlformats.org/officeDocument/2006/relationships/hyperlink" Target="https://www.ceta.org.co/html/vista_de_un_articulo.asp?Norma=42546" TargetMode="External"/><Relationship Id="rId284" Type="http://schemas.openxmlformats.org/officeDocument/2006/relationships/hyperlink" Target="https://www.ceta.org.co/html/vista_de_un_articulo.asp?Norma=73" TargetMode="External"/><Relationship Id="rId319" Type="http://schemas.openxmlformats.org/officeDocument/2006/relationships/hyperlink" Target="https://www.ceta.org.co/html/vista_de_un_articulo.asp?Norma=22823" TargetMode="External"/><Relationship Id="rId37" Type="http://schemas.openxmlformats.org/officeDocument/2006/relationships/hyperlink" Target="https://www.ceta.org.co/html/vista_de_un_articulo.asp?Norma=636" TargetMode="External"/><Relationship Id="rId58" Type="http://schemas.openxmlformats.org/officeDocument/2006/relationships/hyperlink" Target="https://www.ceta.org.co/html/vista_de_un_articulo.asp?Norma=94" TargetMode="External"/><Relationship Id="rId79" Type="http://schemas.openxmlformats.org/officeDocument/2006/relationships/hyperlink" Target="https://www.ceta.org.co/html/vista_de_un_articulo.asp?Norma=312" TargetMode="External"/><Relationship Id="rId102" Type="http://schemas.openxmlformats.org/officeDocument/2006/relationships/hyperlink" Target="https://www.ceta.org.co/html/vista_de_un_articulo.asp?Norma=33806" TargetMode="External"/><Relationship Id="rId123" Type="http://schemas.openxmlformats.org/officeDocument/2006/relationships/hyperlink" Target="https://www.ceta.org.co/html/vista_de_un_articulo.asp?Norma=88" TargetMode="External"/><Relationship Id="rId144" Type="http://schemas.openxmlformats.org/officeDocument/2006/relationships/hyperlink" Target="https://www.ceta.org.co/html/vista_de_un_articulo.asp?Norma=52" TargetMode="External"/><Relationship Id="rId330" Type="http://schemas.openxmlformats.org/officeDocument/2006/relationships/hyperlink" Target="https://www.ceta.org.co/html/vista_de_un_articulo.asp?Norma=586" TargetMode="External"/><Relationship Id="rId90" Type="http://schemas.openxmlformats.org/officeDocument/2006/relationships/hyperlink" Target="https://www.ceta.org.co/html/vista_de_un_articulo.asp?Norma=476" TargetMode="External"/><Relationship Id="rId165" Type="http://schemas.openxmlformats.org/officeDocument/2006/relationships/hyperlink" Target="https://www.ceta.org.co/html/vista_de_un_articulo.asp?Norma=42518" TargetMode="External"/><Relationship Id="rId186" Type="http://schemas.openxmlformats.org/officeDocument/2006/relationships/hyperlink" Target="https://www.ceta.org.co/html/vista_de_un_articulo.asp?Norma=42519" TargetMode="External"/><Relationship Id="rId211" Type="http://schemas.openxmlformats.org/officeDocument/2006/relationships/hyperlink" Target="https://www.ceta.org.co/html/vista_de_un_articulo.asp?Norma=88" TargetMode="External"/><Relationship Id="rId232" Type="http://schemas.openxmlformats.org/officeDocument/2006/relationships/hyperlink" Target="https://www.ceta.org.co/html/vista_de_un_articulo.asp?Norma=165" TargetMode="External"/><Relationship Id="rId253" Type="http://schemas.openxmlformats.org/officeDocument/2006/relationships/hyperlink" Target="https://www.ceta.org.co/html/vista_de_un_articulo.asp?Norma=699" TargetMode="External"/><Relationship Id="rId274" Type="http://schemas.openxmlformats.org/officeDocument/2006/relationships/hyperlink" Target="https://www.ceta.org.co/html/vista_de_un_articulo.asp?Norma=884" TargetMode="External"/><Relationship Id="rId295" Type="http://schemas.openxmlformats.org/officeDocument/2006/relationships/hyperlink" Target="https://www.ceta.org.co/html/vista_de_un_articulo.asp?Norma=167" TargetMode="External"/><Relationship Id="rId309" Type="http://schemas.openxmlformats.org/officeDocument/2006/relationships/hyperlink" Target="https://www.ceta.org.co/html/vista_de_un_articulo.asp?Norma=371" TargetMode="External"/><Relationship Id="rId27" Type="http://schemas.openxmlformats.org/officeDocument/2006/relationships/hyperlink" Target="https://www.ceta.org.co/html/vista_de_un_articulo.asp?Norma=785" TargetMode="External"/><Relationship Id="rId48" Type="http://schemas.openxmlformats.org/officeDocument/2006/relationships/hyperlink" Target="https://www.ceta.org.co/html/vista_de_un_articulo.asp?Norma=29969" TargetMode="External"/><Relationship Id="rId69" Type="http://schemas.openxmlformats.org/officeDocument/2006/relationships/hyperlink" Target="https://www.ceta.org.co/html/vista_de_un_articulo.asp?Norma=88" TargetMode="External"/><Relationship Id="rId113" Type="http://schemas.openxmlformats.org/officeDocument/2006/relationships/hyperlink" Target="https://www.ceta.org.co/html/vista_de_un_articulo.asp?Norma=12016" TargetMode="External"/><Relationship Id="rId134" Type="http://schemas.openxmlformats.org/officeDocument/2006/relationships/hyperlink" Target="https://www.ceta.org.co/html/vista_de_un_articulo.asp?Norma=496" TargetMode="External"/><Relationship Id="rId320" Type="http://schemas.openxmlformats.org/officeDocument/2006/relationships/hyperlink" Target="https://www.ceta.org.co/html/vista_de_un_articulo.asp?Norma=29946" TargetMode="External"/><Relationship Id="rId80" Type="http://schemas.openxmlformats.org/officeDocument/2006/relationships/hyperlink" Target="https://www.ceta.org.co/html/vista_de_un_articulo.asp?Norma=409" TargetMode="External"/><Relationship Id="rId155" Type="http://schemas.openxmlformats.org/officeDocument/2006/relationships/hyperlink" Target="https://www.ceta.org.co/html/vista_de_un_articulo.asp?Norma=459" TargetMode="External"/><Relationship Id="rId176" Type="http://schemas.openxmlformats.org/officeDocument/2006/relationships/image" Target="media/image11.png"/><Relationship Id="rId197" Type="http://schemas.openxmlformats.org/officeDocument/2006/relationships/hyperlink" Target="https://www.ceta.org.co/html/vista_de_un_articulo.asp?Norma=10886" TargetMode="External"/><Relationship Id="rId341" Type="http://schemas.openxmlformats.org/officeDocument/2006/relationships/hyperlink" Target="https://www.ceta.org.co/html/vista_de_un_articulo.asp?Norma=29965" TargetMode="External"/><Relationship Id="rId201" Type="http://schemas.openxmlformats.org/officeDocument/2006/relationships/hyperlink" Target="https://www.ceta.org.co/html/vista_de_un_articulo.asp?Norma=43" TargetMode="External"/><Relationship Id="rId222" Type="http://schemas.openxmlformats.org/officeDocument/2006/relationships/hyperlink" Target="https://www.ceta.org.co/html/vista_de_un_articulo.asp?Norma=134" TargetMode="External"/><Relationship Id="rId243" Type="http://schemas.openxmlformats.org/officeDocument/2006/relationships/hyperlink" Target="https://www.ceta.org.co/html/vista_de_un_articulo.asp?Norma=1090" TargetMode="External"/><Relationship Id="rId264" Type="http://schemas.openxmlformats.org/officeDocument/2006/relationships/hyperlink" Target="https://www.ceta.org.co/html/vista_de_un_articulo.asp?Norma=42545" TargetMode="External"/><Relationship Id="rId285" Type="http://schemas.openxmlformats.org/officeDocument/2006/relationships/hyperlink" Target="https://www.ceta.org.co/html/vista_de_un_articulo.asp?Norma=74" TargetMode="External"/><Relationship Id="rId17" Type="http://schemas.openxmlformats.org/officeDocument/2006/relationships/hyperlink" Target="https://www.ceta.org.co/html/vista_de_un_articulo.asp?Norma=550" TargetMode="External"/><Relationship Id="rId38" Type="http://schemas.openxmlformats.org/officeDocument/2006/relationships/hyperlink" Target="https://www.ceta.org.co/html/vista_de_un_articulo.asp?Norma=548" TargetMode="External"/><Relationship Id="rId59" Type="http://schemas.openxmlformats.org/officeDocument/2006/relationships/hyperlink" Target="https://www.ceta.org.co/html/vista_de_un_articulo.asp?Norma=272" TargetMode="External"/><Relationship Id="rId103" Type="http://schemas.openxmlformats.org/officeDocument/2006/relationships/hyperlink" Target="https://www.ceta.org.co/html/vista_de_un_articulo.asp?Norma=33805" TargetMode="External"/><Relationship Id="rId124" Type="http://schemas.openxmlformats.org/officeDocument/2006/relationships/hyperlink" Target="https://www.ceta.org.co/html/vista_de_un_articulo.asp?Norma=310" TargetMode="External"/><Relationship Id="rId310" Type="http://schemas.openxmlformats.org/officeDocument/2006/relationships/hyperlink" Target="https://www.ceta.org.co/html/vista_de_un_articulo.asp?Norma=22817" TargetMode="External"/><Relationship Id="rId70" Type="http://schemas.openxmlformats.org/officeDocument/2006/relationships/image" Target="media/image2.png"/><Relationship Id="rId91" Type="http://schemas.openxmlformats.org/officeDocument/2006/relationships/hyperlink" Target="https://www.ceta.org.co/html/vista_de_un_articulo.asp?Norma=476" TargetMode="External"/><Relationship Id="rId145" Type="http://schemas.openxmlformats.org/officeDocument/2006/relationships/hyperlink" Target="https://www.ceta.org.co/html/vista_de_un_articulo.asp?Norma=52" TargetMode="External"/><Relationship Id="rId166" Type="http://schemas.openxmlformats.org/officeDocument/2006/relationships/hyperlink" Target="https://www.ceta.org.co/html/vista_de_un_articulo.asp?Norma=42519" TargetMode="External"/><Relationship Id="rId187" Type="http://schemas.openxmlformats.org/officeDocument/2006/relationships/hyperlink" Target="https://www.ceta.org.co/html/vista_de_un_articulo.asp?Norma=42527" TargetMode="External"/><Relationship Id="rId331" Type="http://schemas.openxmlformats.org/officeDocument/2006/relationships/hyperlink" Target="https://www.ceta.org.co/html/vista_de_un_articulo.asp?Norma=587" TargetMode="External"/><Relationship Id="rId1" Type="http://schemas.openxmlformats.org/officeDocument/2006/relationships/customXml" Target="../customXml/item1.xml"/><Relationship Id="rId212" Type="http://schemas.openxmlformats.org/officeDocument/2006/relationships/hyperlink" Target="https://www.ceta.org.co/html/vista_de_un_articulo.asp?Norma=165" TargetMode="External"/><Relationship Id="rId233" Type="http://schemas.openxmlformats.org/officeDocument/2006/relationships/hyperlink" Target="https://www.ceta.org.co/html/vista_de_un_articulo.asp?Norma=327" TargetMode="External"/><Relationship Id="rId254" Type="http://schemas.openxmlformats.org/officeDocument/2006/relationships/hyperlink" Target="https://www.ceta.org.co/html/vista_de_un_articulo.asp?Norma=699" TargetMode="External"/><Relationship Id="rId28" Type="http://schemas.openxmlformats.org/officeDocument/2006/relationships/hyperlink" Target="https://www.ceta.org.co/html/vista_de_un_articulo.asp?Norma=597" TargetMode="External"/><Relationship Id="rId49" Type="http://schemas.openxmlformats.org/officeDocument/2006/relationships/hyperlink" Target="https://www.ceta.org.co/html/vista_de_un_articulo.asp?Norma=29970" TargetMode="External"/><Relationship Id="rId114" Type="http://schemas.openxmlformats.org/officeDocument/2006/relationships/hyperlink" Target="https://www.ceta.org.co/html/vista_de_un_articulo.asp?Norma=375" TargetMode="External"/><Relationship Id="rId275" Type="http://schemas.openxmlformats.org/officeDocument/2006/relationships/hyperlink" Target="https://www.ceta.org.co/html/vista_de_un_articulo.asp?Norma=889" TargetMode="External"/><Relationship Id="rId296" Type="http://schemas.openxmlformats.org/officeDocument/2006/relationships/hyperlink" Target="https://www.ceta.org.co/html/vista_de_un_articulo.asp?Norma=169" TargetMode="External"/><Relationship Id="rId300" Type="http://schemas.openxmlformats.org/officeDocument/2006/relationships/hyperlink" Target="https://www.ceta.org.co/html/vista_de_un_articulo.asp?Norma=310" TargetMode="External"/><Relationship Id="rId60" Type="http://schemas.openxmlformats.org/officeDocument/2006/relationships/hyperlink" Target="https://www.ceta.org.co/html/vista_de_un_articulo.asp?Norma=415" TargetMode="External"/><Relationship Id="rId81" Type="http://schemas.openxmlformats.org/officeDocument/2006/relationships/hyperlink" Target="https://www.ceta.org.co/html/vista_de_un_articulo.asp?Norma=313" TargetMode="External"/><Relationship Id="rId135" Type="http://schemas.openxmlformats.org/officeDocument/2006/relationships/hyperlink" Target="https://www.ceta.org.co/html/vista_de_un_articulo.asp?Norma=48" TargetMode="External"/><Relationship Id="rId156" Type="http://schemas.openxmlformats.org/officeDocument/2006/relationships/hyperlink" Target="https://www.ceta.org.co/html/vista_de_un_articulo.asp?Norma=459" TargetMode="External"/><Relationship Id="rId177" Type="http://schemas.openxmlformats.org/officeDocument/2006/relationships/hyperlink" Target="https://www.ceta.org.co/html/vista_de_un_articulo.asp?Norma=42520" TargetMode="External"/><Relationship Id="rId198" Type="http://schemas.openxmlformats.org/officeDocument/2006/relationships/hyperlink" Target="https://www.ceta.org.co/html/vista_de_un_articulo.asp?Norma=10875" TargetMode="External"/><Relationship Id="rId321" Type="http://schemas.openxmlformats.org/officeDocument/2006/relationships/hyperlink" Target="https://www.ceta.org.co/html/vista_de_un_articulo.asp?Norma=29948" TargetMode="External"/><Relationship Id="rId342" Type="http://schemas.openxmlformats.org/officeDocument/2006/relationships/hyperlink" Target="https://www.ceta.org.co/html/vista_de_un_articulo.asp?Norma=890" TargetMode="External"/><Relationship Id="rId202" Type="http://schemas.openxmlformats.org/officeDocument/2006/relationships/hyperlink" Target="https://www.ceta.org.co/html/vista_de_un_articulo.asp?Norma=88" TargetMode="External"/><Relationship Id="rId223" Type="http://schemas.openxmlformats.org/officeDocument/2006/relationships/hyperlink" Target="https://www.ceta.org.co/html/vista_de_un_articulo.asp?Norma=415" TargetMode="External"/><Relationship Id="rId244" Type="http://schemas.openxmlformats.org/officeDocument/2006/relationships/hyperlink" Target="https://www.ceta.org.co/html/vista_de_un_articulo.asp?Norma=1090" TargetMode="External"/><Relationship Id="rId18" Type="http://schemas.openxmlformats.org/officeDocument/2006/relationships/hyperlink" Target="https://www.ceta.org.co/html/vista_de_un_articulo.asp?Norma=575" TargetMode="External"/><Relationship Id="rId39" Type="http://schemas.openxmlformats.org/officeDocument/2006/relationships/hyperlink" Target="https://www.ceta.org.co/html/vista_de_un_articulo.asp?Norma=758" TargetMode="External"/><Relationship Id="rId265" Type="http://schemas.openxmlformats.org/officeDocument/2006/relationships/hyperlink" Target="https://www.ceta.org.co/html/vista_de_un_articulo.asp?Norma=795" TargetMode="External"/><Relationship Id="rId286" Type="http://schemas.openxmlformats.org/officeDocument/2006/relationships/hyperlink" Target="https://www.ceta.org.co/html/vista_de_un_articulo.asp?Norma=75" TargetMode="External"/><Relationship Id="rId50" Type="http://schemas.openxmlformats.org/officeDocument/2006/relationships/hyperlink" Target="https://www.ceta.org.co/html/vista_de_un_articulo.asp?Norma=29970" TargetMode="External"/><Relationship Id="rId104" Type="http://schemas.openxmlformats.org/officeDocument/2006/relationships/hyperlink" Target="https://www.ceta.org.co/html/vista_de_un_articulo.asp?Norma=33807" TargetMode="External"/><Relationship Id="rId125" Type="http://schemas.openxmlformats.org/officeDocument/2006/relationships/hyperlink" Target="https://www.ceta.org.co/html/vista_de_un_articulo.asp?Norma=317" TargetMode="External"/><Relationship Id="rId146" Type="http://schemas.openxmlformats.org/officeDocument/2006/relationships/hyperlink" Target="https://www.ceta.org.co/html/vista_de_un_articulo.asp?Norma=52" TargetMode="External"/><Relationship Id="rId167" Type="http://schemas.openxmlformats.org/officeDocument/2006/relationships/hyperlink" Target="https://www.ceta.org.co/html/vista_de_un_articulo.asp?Norma=42519" TargetMode="External"/><Relationship Id="rId188" Type="http://schemas.openxmlformats.org/officeDocument/2006/relationships/hyperlink" Target="https://www.ceta.org.co/html/vista_de_un_articulo.asp?Norma=252" TargetMode="External"/><Relationship Id="rId311" Type="http://schemas.openxmlformats.org/officeDocument/2006/relationships/hyperlink" Target="https://www.ceta.org.co/html/vista_de_un_articulo.asp?Norma=372" TargetMode="External"/><Relationship Id="rId332" Type="http://schemas.openxmlformats.org/officeDocument/2006/relationships/hyperlink" Target="https://www.ceta.org.co/html/vista_de_un_articulo.asp?Norma=597" TargetMode="External"/><Relationship Id="rId71" Type="http://schemas.openxmlformats.org/officeDocument/2006/relationships/hyperlink" Target="https://www.ceta.org.co/html/vista_de_un_articulo.asp?Norma=88" TargetMode="External"/><Relationship Id="rId92" Type="http://schemas.openxmlformats.org/officeDocument/2006/relationships/image" Target="media/image3.png"/><Relationship Id="rId213" Type="http://schemas.openxmlformats.org/officeDocument/2006/relationships/hyperlink" Target="https://www.ceta.org.co/html/vista_de_un_articulo.asp?Norma=165" TargetMode="External"/><Relationship Id="rId234" Type="http://schemas.openxmlformats.org/officeDocument/2006/relationships/hyperlink" Target="https://www.ceta.org.co/html/vista_de_un_articulo.asp?Norma=328" TargetMode="External"/><Relationship Id="rId2" Type="http://schemas.openxmlformats.org/officeDocument/2006/relationships/numbering" Target="numbering.xml"/><Relationship Id="rId29" Type="http://schemas.openxmlformats.org/officeDocument/2006/relationships/hyperlink" Target="https://www.ceta.org.co/html/vista_de_un_articulo.asp?Norma=597" TargetMode="External"/><Relationship Id="rId255" Type="http://schemas.openxmlformats.org/officeDocument/2006/relationships/hyperlink" Target="https://www.ceta.org.co/html/vista_de_un_articulo.asp?Norma=702" TargetMode="External"/><Relationship Id="rId276" Type="http://schemas.openxmlformats.org/officeDocument/2006/relationships/hyperlink" Target="https://www.ceta.org.co/html/vista_de_un_articulo.asp?Norma=795" TargetMode="External"/><Relationship Id="rId297" Type="http://schemas.openxmlformats.org/officeDocument/2006/relationships/hyperlink" Target="https://www.ceta.org.co/html/vista_de_un_articulo.asp?Norma=188" TargetMode="External"/><Relationship Id="rId40" Type="http://schemas.openxmlformats.org/officeDocument/2006/relationships/hyperlink" Target="https://www.ceta.org.co/html/vista_de_un_articulo.asp?Norma=42545" TargetMode="External"/><Relationship Id="rId115" Type="http://schemas.openxmlformats.org/officeDocument/2006/relationships/hyperlink" Target="https://www.ceta.org.co/html/vista_de_un_articulo.asp?Norma=12015" TargetMode="External"/><Relationship Id="rId136" Type="http://schemas.openxmlformats.org/officeDocument/2006/relationships/hyperlink" Target="https://www.ceta.org.co/html/vista_de_un_articulo.asp?Norma=29936" TargetMode="External"/><Relationship Id="rId157" Type="http://schemas.openxmlformats.org/officeDocument/2006/relationships/hyperlink" Target="https://www.ceta.org.co/html/vista_de_un_articulo.asp?Norma=486" TargetMode="External"/><Relationship Id="rId178" Type="http://schemas.openxmlformats.org/officeDocument/2006/relationships/hyperlink" Target="https://www.ceta.org.co/html/vista_de_un_articulo.asp?Norma=42521" TargetMode="External"/><Relationship Id="rId301" Type="http://schemas.openxmlformats.org/officeDocument/2006/relationships/hyperlink" Target="https://www.ceta.org.co/html/vista_de_un_articulo.asp?Norma=10876" TargetMode="External"/><Relationship Id="rId322" Type="http://schemas.openxmlformats.org/officeDocument/2006/relationships/hyperlink" Target="https://www.ceta.org.co/html/vista_de_un_articulo.asp?Norma=417" TargetMode="External"/><Relationship Id="rId343" Type="http://schemas.openxmlformats.org/officeDocument/2006/relationships/hyperlink" Target="https://www.ceta.org.co/html/vista_de_un_articulo.asp?Norma=906" TargetMode="External"/><Relationship Id="rId61" Type="http://schemas.openxmlformats.org/officeDocument/2006/relationships/hyperlink" Target="https://www.ceta.org.co/html/vista_de_un_articulo.asp?Norma=29941" TargetMode="External"/><Relationship Id="rId82" Type="http://schemas.openxmlformats.org/officeDocument/2006/relationships/hyperlink" Target="https://www.ceta.org.co/html/vista_de_un_articulo.asp?Norma=412" TargetMode="External"/><Relationship Id="rId199" Type="http://schemas.openxmlformats.org/officeDocument/2006/relationships/hyperlink" Target="https://www.ceta.org.co/html/vista_de_un_articulo.asp?Norma=42500" TargetMode="External"/><Relationship Id="rId203" Type="http://schemas.openxmlformats.org/officeDocument/2006/relationships/hyperlink" Target="https://www.ceta.org.co/html/vista_de_un_articulo.asp?Norma=316" TargetMode="External"/><Relationship Id="rId19" Type="http://schemas.openxmlformats.org/officeDocument/2006/relationships/hyperlink" Target="https://www.ceta.org.co/html/vista_de_un_articulo.asp?Norma=575" TargetMode="External"/><Relationship Id="rId224" Type="http://schemas.openxmlformats.org/officeDocument/2006/relationships/hyperlink" Target="https://www.ceta.org.co/html/vista_de_un_articulo.asp?Norma=327" TargetMode="External"/><Relationship Id="rId245" Type="http://schemas.openxmlformats.org/officeDocument/2006/relationships/hyperlink" Target="https://www.ceta.org.co/html/vista_de_un_articulo.asp?Norma=26860" TargetMode="External"/><Relationship Id="rId266" Type="http://schemas.openxmlformats.org/officeDocument/2006/relationships/hyperlink" Target="https://www.ceta.org.co/html/vista_de_un_articulo.asp?Norma=793" TargetMode="External"/><Relationship Id="rId287" Type="http://schemas.openxmlformats.org/officeDocument/2006/relationships/hyperlink" Target="https://www.ceta.org.co/html/vista_de_un_articulo.asp?Norma=76" TargetMode="External"/><Relationship Id="rId30" Type="http://schemas.openxmlformats.org/officeDocument/2006/relationships/hyperlink" Target="https://www.ceta.org.co/html/vista_de_un_articulo.asp?Norma=526" TargetMode="External"/><Relationship Id="rId105" Type="http://schemas.openxmlformats.org/officeDocument/2006/relationships/hyperlink" Target="https://www.ceta.org.co/html/vista_de_un_articulo.asp?Norma=33807" TargetMode="External"/><Relationship Id="rId126" Type="http://schemas.openxmlformats.org/officeDocument/2006/relationships/hyperlink" Target="https://www.ceta.org.co/html/vista_de_un_articulo.asp?Norma=317" TargetMode="External"/><Relationship Id="rId147" Type="http://schemas.openxmlformats.org/officeDocument/2006/relationships/hyperlink" Target="https://www.ceta.org.co/html/vista_de_un_articulo.asp?Norma=42510" TargetMode="External"/><Relationship Id="rId168" Type="http://schemas.openxmlformats.org/officeDocument/2006/relationships/hyperlink" Target="https://www.ceta.org.co/html/vista_de_un_articulo.asp?Norma=42519" TargetMode="External"/><Relationship Id="rId312" Type="http://schemas.openxmlformats.org/officeDocument/2006/relationships/hyperlink" Target="https://www.ceta.org.co/html/vista_de_un_articulo.asp?Norma=22819" TargetMode="External"/><Relationship Id="rId333" Type="http://schemas.openxmlformats.org/officeDocument/2006/relationships/hyperlink" Target="https://www.ceta.org.co/html/vista_de_un_articulo.asp?Norma=608" TargetMode="External"/><Relationship Id="rId51" Type="http://schemas.openxmlformats.org/officeDocument/2006/relationships/hyperlink" Target="https://www.ceta.org.co/html/vista_de_un_articulo.asp?Norma=29970" TargetMode="External"/><Relationship Id="rId72" Type="http://schemas.openxmlformats.org/officeDocument/2006/relationships/hyperlink" Target="https://www.ceta.org.co/html/vista_de_un_articulo.asp?Norma=310" TargetMode="External"/><Relationship Id="rId93" Type="http://schemas.openxmlformats.org/officeDocument/2006/relationships/hyperlink" Target="https://www.ceta.org.co/html/vista_de_un_articulo.asp?Norma=33802" TargetMode="External"/><Relationship Id="rId189" Type="http://schemas.openxmlformats.org/officeDocument/2006/relationships/hyperlink" Target="https://www.ceta.org.co/html/vista_de_un_articulo.asp?Norma=87" TargetMode="External"/><Relationship Id="rId3" Type="http://schemas.openxmlformats.org/officeDocument/2006/relationships/styles" Target="styles.xml"/><Relationship Id="rId214" Type="http://schemas.openxmlformats.org/officeDocument/2006/relationships/hyperlink" Target="https://www.ceta.org.co/html/vista_de_un_articulo.asp?Norma=252" TargetMode="External"/><Relationship Id="rId235" Type="http://schemas.openxmlformats.org/officeDocument/2006/relationships/hyperlink" Target="https://www.ceta.org.co/html/vista_de_un_articulo.asp?Norma=329" TargetMode="External"/><Relationship Id="rId256" Type="http://schemas.openxmlformats.org/officeDocument/2006/relationships/hyperlink" Target="https://www.ceta.org.co/html/vista_de_un_articulo.asp?Norma=699" TargetMode="External"/><Relationship Id="rId277" Type="http://schemas.openxmlformats.org/officeDocument/2006/relationships/hyperlink" Target="https://www.ceta.org.co/html/vista_de_un_articulo.asp?Norma=1023" TargetMode="External"/><Relationship Id="rId298" Type="http://schemas.openxmlformats.org/officeDocument/2006/relationships/hyperlink" Target="https://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A2D3-66EE-4C1D-A6CE-8CC2E2F8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99</Pages>
  <Words>49489</Words>
  <Characters>272193</Characters>
  <Application>Microsoft Office Word</Application>
  <DocSecurity>0</DocSecurity>
  <Lines>2268</Lines>
  <Paragraphs>642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5</cp:revision>
  <cp:lastPrinted>2019-01-22T21:52:00Z</cp:lastPrinted>
  <dcterms:created xsi:type="dcterms:W3CDTF">2019-09-27T12:07:00Z</dcterms:created>
  <dcterms:modified xsi:type="dcterms:W3CDTF">2020-01-17T00:41:00Z</dcterms:modified>
</cp:coreProperties>
</file>